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1" w:name="_GoBack"/>
      <w:bookmarkEnd w:id="1"/>
    </w:p>
    <w:p>
      <w:pPr>
        <w:spacing w:line="600" w:lineRule="exact"/>
        <w:rPr>
          <w:rFonts w:hint="eastAsia"/>
          <w:sz w:val="32"/>
          <w:szCs w:val="32"/>
        </w:rPr>
      </w:pPr>
    </w:p>
    <w:tbl>
      <w:tblPr>
        <w:tblStyle w:val="10"/>
        <w:tblpPr w:leftFromText="180" w:rightFromText="180" w:vertAnchor="page" w:horzAnchor="margin" w:tblpY="2446"/>
        <w:tblW w:w="0" w:type="auto"/>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9"/>
        <w:gridCol w:w="1736"/>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298" w:hRule="exact"/>
        </w:trPr>
        <w:tc>
          <w:tcPr>
            <w:tcW w:w="7209" w:type="dxa"/>
            <w:noWrap w:val="0"/>
            <w:vAlign w:val="top"/>
          </w:tcPr>
          <w:p>
            <w:pPr>
              <w:tabs>
                <w:tab w:val="center" w:pos="4543"/>
              </w:tabs>
              <w:spacing w:line="1100" w:lineRule="exact"/>
              <w:jc w:val="distribute"/>
              <w:rPr>
                <w:rFonts w:ascii="方正小标宋简体" w:hAnsi="方正大标宋简体" w:eastAsia="方正小标宋简体"/>
                <w:color w:val="FF0000"/>
                <w:spacing w:val="20"/>
                <w:w w:val="68"/>
                <w:sz w:val="86"/>
                <w:szCs w:val="86"/>
              </w:rPr>
            </w:pPr>
            <w:r>
              <w:rPr>
                <w:rFonts w:hint="eastAsia" w:ascii="方正小标宋简体" w:hAnsi="方正大标宋简体" w:eastAsia="方正小标宋简体"/>
                <w:color w:val="FF0000"/>
                <w:spacing w:val="20"/>
                <w:w w:val="68"/>
                <w:sz w:val="86"/>
                <w:szCs w:val="86"/>
              </w:rPr>
              <w:t>中共华南农业大学委员会</w:t>
            </w:r>
          </w:p>
          <w:p>
            <w:pPr>
              <w:tabs>
                <w:tab w:val="center" w:pos="4543"/>
              </w:tabs>
              <w:spacing w:line="1100" w:lineRule="exact"/>
              <w:jc w:val="distribute"/>
              <w:rPr>
                <w:rFonts w:ascii="方正小标宋简体" w:hAnsi="方正大标宋简体" w:eastAsia="方正小标宋简体"/>
                <w:color w:val="FF0000"/>
                <w:spacing w:val="20"/>
                <w:w w:val="68"/>
                <w:sz w:val="86"/>
                <w:szCs w:val="86"/>
              </w:rPr>
            </w:pPr>
            <w:r>
              <w:rPr>
                <w:rFonts w:hint="eastAsia" w:ascii="方正小标宋简体" w:hAnsi="方正大标宋简体" w:eastAsia="方正小标宋简体"/>
                <w:color w:val="FF0000"/>
                <w:spacing w:val="20"/>
                <w:w w:val="68"/>
                <w:sz w:val="86"/>
                <w:szCs w:val="86"/>
              </w:rPr>
              <w:t>华南农业大学</w:t>
            </w:r>
          </w:p>
        </w:tc>
        <w:tc>
          <w:tcPr>
            <w:tcW w:w="1736" w:type="dxa"/>
            <w:noWrap w:val="0"/>
            <w:vAlign w:val="center"/>
          </w:tcPr>
          <w:p>
            <w:pPr>
              <w:tabs>
                <w:tab w:val="center" w:pos="4543"/>
              </w:tabs>
              <w:spacing w:line="1100" w:lineRule="exact"/>
              <w:jc w:val="center"/>
              <w:rPr>
                <w:rFonts w:ascii="方正小标宋简体" w:hAnsi="方正大标宋简体" w:eastAsia="方正小标宋简体"/>
                <w:color w:val="FF0000"/>
                <w:spacing w:val="20"/>
                <w:w w:val="68"/>
                <w:sz w:val="104"/>
                <w:szCs w:val="104"/>
              </w:rPr>
            </w:pPr>
            <w:r>
              <w:rPr>
                <w:rFonts w:hint="eastAsia" w:ascii="方正小标宋简体" w:hAnsi="方正大标宋简体" w:eastAsia="方正小标宋简体"/>
                <w:color w:val="FF0000"/>
                <w:spacing w:val="20"/>
                <w:w w:val="68"/>
                <w:sz w:val="104"/>
                <w:szCs w:val="104"/>
              </w:rPr>
              <w:t>文件</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53" w:hRule="exact"/>
        </w:trPr>
        <w:tc>
          <w:tcPr>
            <w:tcW w:w="8945" w:type="dxa"/>
            <w:gridSpan w:val="2"/>
            <w:noWrap w:val="0"/>
            <w:vAlign w:val="top"/>
          </w:tcPr>
          <w:p>
            <w:pPr>
              <w:spacing w:line="460" w:lineRule="exact"/>
              <w:jc w:val="center"/>
              <w:rPr>
                <w:rFonts w:ascii="仿宋_GB2312" w:eastAsia="仿宋_GB2312"/>
                <w:sz w:val="32"/>
              </w:rPr>
            </w:pPr>
          </w:p>
          <w:p>
            <w:pPr>
              <w:spacing w:line="600" w:lineRule="exact"/>
              <w:jc w:val="center"/>
              <w:rPr>
                <w:rFonts w:ascii="仿宋_GB2312" w:eastAsia="仿宋_GB2312"/>
                <w:sz w:val="32"/>
              </w:rPr>
            </w:pPr>
            <w:r>
              <w:rPr>
                <w:rFonts w:hint="eastAsia" w:ascii="仿宋_GB2312" w:eastAsia="仿宋_GB2312"/>
                <w:sz w:val="32"/>
              </w:rPr>
              <w:t>华农党发〔</w:t>
            </w:r>
            <w:r>
              <w:rPr>
                <w:rFonts w:ascii="仿宋_GB2312" w:eastAsia="仿宋_GB2312"/>
                <w:sz w:val="32"/>
              </w:rPr>
              <w:t>20</w:t>
            </w:r>
            <w:r>
              <w:rPr>
                <w:rFonts w:hint="eastAsia" w:ascii="仿宋_GB2312" w:eastAsia="仿宋_GB2312"/>
                <w:sz w:val="32"/>
              </w:rPr>
              <w:t>21〕10号</w:t>
            </w:r>
          </w:p>
          <w:p>
            <w:pPr>
              <w:rPr>
                <w:rFonts w:ascii="华文中宋" w:hAnsi="华文中宋" w:eastAsia="华文中宋"/>
                <w:spacing w:val="20"/>
                <w:sz w:val="28"/>
                <w:szCs w:val="28"/>
              </w:rPr>
            </w:pPr>
          </w:p>
        </w:tc>
      </w:tr>
    </w:tbl>
    <w:p>
      <w:pPr>
        <w:pStyle w:val="9"/>
        <w:widowControl w:val="0"/>
        <w:spacing w:before="0" w:beforeAutospacing="0" w:after="0" w:afterAutospacing="0" w:line="576" w:lineRule="exact"/>
        <w:jc w:val="center"/>
        <w:rPr>
          <w:rFonts w:ascii="方正小标宋简体" w:hAnsi="楷体" w:eastAsia="方正小标宋简体" w:cs="方正小标宋简体"/>
          <w:bCs/>
          <w:color w:val="000000"/>
          <w:spacing w:val="-4"/>
          <w:sz w:val="44"/>
          <w:szCs w:val="44"/>
        </w:rPr>
      </w:pPr>
      <w:bookmarkStart w:id="0" w:name="Content"/>
      <w:bookmarkEnd w:id="0"/>
      <w:r>
        <w:rPr>
          <w:rFonts w:hint="eastAsia" w:ascii="方正小标宋简体" w:hAnsi="方正小标宋简体" w:eastAsia="方正小标宋简体" w:cs="方正小标宋简体"/>
          <w:spacing w:val="-4"/>
          <w:sz w:val="44"/>
          <w:szCs w:val="44"/>
        </w:rPr>
        <w:t>中共华南农业大学委员会  华南农业大学</w:t>
      </w:r>
    </w:p>
    <w:p>
      <w:pPr>
        <w:pStyle w:val="9"/>
        <w:widowControl w:val="0"/>
        <w:spacing w:before="0" w:beforeAutospacing="0" w:after="0" w:afterAutospacing="0" w:line="576" w:lineRule="exact"/>
        <w:jc w:val="center"/>
        <w:rPr>
          <w:rFonts w:ascii="方正小标宋简体" w:hAnsi="楷体" w:eastAsia="方正小标宋简体" w:cs="方正小标宋简体"/>
          <w:bCs/>
          <w:color w:val="000000"/>
          <w:spacing w:val="-4"/>
          <w:sz w:val="44"/>
          <w:szCs w:val="44"/>
        </w:rPr>
      </w:pPr>
      <w:r>
        <w:rPr>
          <w:rFonts w:hint="eastAsia" w:ascii="方正小标宋简体" w:hAnsi="楷体" w:eastAsia="方正小标宋简体" w:cs="方正小标宋简体"/>
          <w:bCs/>
          <w:color w:val="000000"/>
          <w:spacing w:val="-4"/>
          <w:sz w:val="44"/>
          <w:szCs w:val="44"/>
        </w:rPr>
        <w:t>关于印发《</w:t>
      </w:r>
      <w:r>
        <w:rPr>
          <w:rFonts w:hint="eastAsia" w:ascii="方正小标宋简体" w:hAnsi="楷体" w:eastAsia="方正小标宋简体" w:cs="方正小标宋简体"/>
          <w:color w:val="000000"/>
          <w:spacing w:val="-4"/>
          <w:sz w:val="44"/>
          <w:szCs w:val="44"/>
        </w:rPr>
        <w:t>华南农业大学2021年工作要点</w:t>
      </w:r>
      <w:r>
        <w:rPr>
          <w:rFonts w:hint="eastAsia" w:ascii="方正小标宋简体" w:hAnsi="楷体" w:eastAsia="方正小标宋简体" w:cs="方正小标宋简体"/>
          <w:bCs/>
          <w:color w:val="000000"/>
          <w:spacing w:val="-4"/>
          <w:sz w:val="44"/>
          <w:szCs w:val="44"/>
        </w:rPr>
        <w:t>》的通知</w:t>
      </w:r>
    </w:p>
    <w:p>
      <w:pPr>
        <w:pStyle w:val="9"/>
        <w:widowControl w:val="0"/>
        <w:spacing w:before="0" w:beforeAutospacing="0" w:after="0" w:afterAutospacing="0" w:line="576" w:lineRule="exact"/>
        <w:jc w:val="center"/>
        <w:rPr>
          <w:rFonts w:ascii="仿宋_GB2312" w:hAnsi="楷体" w:eastAsia="仿宋_GB2312" w:cs="仿宋_GB2312"/>
          <w:color w:val="000000"/>
          <w:spacing w:val="-4"/>
          <w:sz w:val="32"/>
          <w:szCs w:val="44"/>
        </w:rPr>
      </w:pPr>
    </w:p>
    <w:p>
      <w:pPr>
        <w:pStyle w:val="9"/>
        <w:widowControl w:val="0"/>
        <w:spacing w:before="0" w:beforeAutospacing="0" w:after="0" w:afterAutospacing="0" w:line="576" w:lineRule="exact"/>
        <w:rPr>
          <w:rFonts w:ascii="仿宋_GB2312" w:hAnsi="Verdana" w:eastAsia="仿宋_GB2312" w:cs="仿宋_GB2312"/>
          <w:color w:val="000000"/>
          <w:spacing w:val="-4"/>
          <w:sz w:val="32"/>
          <w:szCs w:val="32"/>
        </w:rPr>
      </w:pPr>
      <w:r>
        <w:rPr>
          <w:rFonts w:hint="eastAsia" w:ascii="仿宋_GB2312" w:hAnsi="Verdana" w:eastAsia="仿宋_GB2312" w:cs="仿宋_GB2312"/>
          <w:color w:val="000000"/>
          <w:spacing w:val="-4"/>
          <w:sz w:val="32"/>
          <w:szCs w:val="32"/>
        </w:rPr>
        <w:t>各二级党组织，各学院、部处，各单位：</w:t>
      </w:r>
    </w:p>
    <w:p>
      <w:pPr>
        <w:pStyle w:val="9"/>
        <w:widowControl w:val="0"/>
        <w:spacing w:before="0" w:beforeAutospacing="0" w:after="0" w:afterAutospacing="0" w:line="576" w:lineRule="exact"/>
        <w:ind w:firstLine="624" w:firstLineChars="200"/>
        <w:rPr>
          <w:rFonts w:ascii="仿宋_GB2312" w:eastAsia="仿宋_GB2312"/>
          <w:spacing w:val="-4"/>
          <w:sz w:val="32"/>
          <w:szCs w:val="32"/>
        </w:rPr>
      </w:pPr>
      <w:r>
        <w:rPr>
          <w:rFonts w:hint="eastAsia" w:ascii="仿宋_GB2312" w:hAnsi="Verdana" w:eastAsia="仿宋_GB2312" w:cs="仿宋_GB2312"/>
          <w:color w:val="000000"/>
          <w:spacing w:val="-4"/>
          <w:sz w:val="32"/>
          <w:szCs w:val="32"/>
        </w:rPr>
        <w:t>经研究，现将《</w:t>
      </w:r>
      <w:r>
        <w:rPr>
          <w:rFonts w:hint="eastAsia" w:ascii="仿宋_GB2312" w:hAnsi="楷体" w:eastAsia="仿宋_GB2312" w:cs="仿宋_GB2312"/>
          <w:color w:val="000000"/>
          <w:spacing w:val="-4"/>
          <w:sz w:val="32"/>
          <w:szCs w:val="32"/>
        </w:rPr>
        <w:t>华南农业大学2021年工作要点</w:t>
      </w:r>
      <w:r>
        <w:rPr>
          <w:rFonts w:hint="eastAsia" w:ascii="仿宋_GB2312" w:hAnsi="Verdana" w:eastAsia="仿宋_GB2312" w:cs="仿宋_GB2312"/>
          <w:color w:val="000000"/>
          <w:spacing w:val="-4"/>
          <w:sz w:val="32"/>
          <w:szCs w:val="32"/>
        </w:rPr>
        <w:t>》印发，请认真贯彻落实。</w:t>
      </w:r>
    </w:p>
    <w:p>
      <w:pPr>
        <w:spacing w:line="576" w:lineRule="exact"/>
        <w:contextualSpacing/>
        <w:jc w:val="right"/>
        <w:rPr>
          <w:rFonts w:ascii="仿宋_GB2312" w:eastAsia="仿宋_GB2312"/>
          <w:spacing w:val="-4"/>
          <w:sz w:val="32"/>
          <w:szCs w:val="32"/>
        </w:rPr>
      </w:pPr>
    </w:p>
    <w:p>
      <w:pPr>
        <w:spacing w:line="576" w:lineRule="exact"/>
        <w:contextualSpacing/>
        <w:jc w:val="right"/>
        <w:rPr>
          <w:rFonts w:hint="eastAsia" w:ascii="仿宋_GB2312" w:eastAsia="仿宋_GB2312"/>
          <w:spacing w:val="-4"/>
          <w:sz w:val="32"/>
          <w:szCs w:val="32"/>
        </w:rPr>
      </w:pPr>
    </w:p>
    <w:p>
      <w:pPr>
        <w:spacing w:line="576" w:lineRule="exact"/>
        <w:contextualSpacing/>
        <w:jc w:val="right"/>
        <w:rPr>
          <w:rFonts w:ascii="仿宋_GB2312" w:eastAsia="仿宋_GB2312"/>
          <w:spacing w:val="-4"/>
          <w:sz w:val="32"/>
          <w:szCs w:val="32"/>
        </w:rPr>
      </w:pPr>
    </w:p>
    <w:p>
      <w:pPr>
        <w:spacing w:line="576" w:lineRule="exact"/>
        <w:contextualSpacing/>
        <w:jc w:val="right"/>
        <w:rPr>
          <w:rFonts w:ascii="仿宋_GB2312" w:eastAsia="仿宋_GB2312"/>
          <w:spacing w:val="-4"/>
          <w:sz w:val="32"/>
          <w:szCs w:val="32"/>
        </w:rPr>
      </w:pPr>
      <w:r>
        <w:rPr>
          <w:rFonts w:hint="eastAsia" w:ascii="仿宋_GB2312" w:eastAsia="仿宋_GB2312"/>
          <w:spacing w:val="-4"/>
          <w:sz w:val="32"/>
          <w:szCs w:val="32"/>
        </w:rPr>
        <w:t>中共华南农业大学委员会    华  南  农  业  大  学</w:t>
      </w:r>
    </w:p>
    <w:p>
      <w:pPr>
        <w:wordWrap w:val="0"/>
        <w:spacing w:line="576" w:lineRule="exact"/>
        <w:jc w:val="right"/>
        <w:rPr>
          <w:rFonts w:ascii="仿宋_GB2312" w:eastAsia="仿宋_GB2312"/>
          <w:spacing w:val="-4"/>
          <w:sz w:val="32"/>
          <w:szCs w:val="32"/>
        </w:rPr>
      </w:pPr>
      <w:r>
        <w:rPr>
          <w:rFonts w:hint="eastAsia" w:ascii="仿宋_GB2312" w:eastAsia="仿宋_GB2312"/>
          <w:spacing w:val="-4"/>
          <w:sz w:val="32"/>
          <w:szCs w:val="32"/>
        </w:rPr>
        <w:t xml:space="preserve">2021年3月4日    </w:t>
      </w:r>
    </w:p>
    <w:p>
      <w:pPr>
        <w:spacing w:line="576" w:lineRule="exact"/>
      </w:pPr>
    </w:p>
    <w:p>
      <w:pPr>
        <w:spacing w:line="576" w:lineRule="exact"/>
      </w:pPr>
    </w:p>
    <w:p>
      <w:pPr>
        <w:spacing w:line="576"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华南农业大学2021年工作要点</w:t>
      </w:r>
    </w:p>
    <w:p>
      <w:pPr>
        <w:spacing w:line="576" w:lineRule="exact"/>
        <w:ind w:firstLine="624" w:firstLineChars="200"/>
        <w:rPr>
          <w:rFonts w:ascii="仿宋_GB2312" w:eastAsia="仿宋_GB2312"/>
          <w:spacing w:val="-4"/>
          <w:sz w:val="32"/>
          <w:szCs w:val="32"/>
        </w:rPr>
      </w:pPr>
    </w:p>
    <w:p>
      <w:pPr>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202</w:t>
      </w:r>
      <w:r>
        <w:rPr>
          <w:rFonts w:ascii="仿宋_GB2312" w:eastAsia="仿宋_GB2312"/>
          <w:spacing w:val="-4"/>
          <w:sz w:val="32"/>
          <w:szCs w:val="32"/>
        </w:rPr>
        <w:t>1</w:t>
      </w:r>
      <w:r>
        <w:rPr>
          <w:rFonts w:hint="eastAsia" w:ascii="仿宋_GB2312" w:eastAsia="仿宋_GB2312"/>
          <w:spacing w:val="-4"/>
          <w:sz w:val="32"/>
          <w:szCs w:val="32"/>
        </w:rPr>
        <w:t>年学校工作总体思路是：以习近平新时代中国特色社会主义思想为指导，全面贯彻党的十九大和十九届二中、三中、四中、五中全会精神，深入贯彻新发展理念，认真贯彻中央、教育部、省委省政府和上级部门的工作部署，落实立德树人根本任务，围绕“争创一流”目标任务，着力推动高质量内涵式发展，确保“十四五”起好步、开好局。</w:t>
      </w:r>
    </w:p>
    <w:p>
      <w:pPr>
        <w:spacing w:line="576" w:lineRule="exact"/>
        <w:ind w:firstLine="624" w:firstLineChars="200"/>
        <w:rPr>
          <w:rFonts w:ascii="黑体" w:hAnsi="黑体" w:eastAsia="黑体"/>
          <w:spacing w:val="-4"/>
          <w:sz w:val="32"/>
          <w:szCs w:val="32"/>
        </w:rPr>
      </w:pPr>
      <w:r>
        <w:rPr>
          <w:rFonts w:hint="eastAsia" w:ascii="黑体" w:hAnsi="黑体" w:eastAsia="黑体"/>
          <w:spacing w:val="-4"/>
          <w:sz w:val="32"/>
          <w:szCs w:val="32"/>
        </w:rPr>
        <w:t>一、坚持和加强党的全面领导，提升党的建设水平</w:t>
      </w:r>
    </w:p>
    <w:p>
      <w:pPr>
        <w:spacing w:line="576" w:lineRule="exact"/>
        <w:ind w:firstLine="624" w:firstLineChars="200"/>
        <w:rPr>
          <w:rFonts w:ascii="楷体_GB2312" w:eastAsia="楷体_GB2312"/>
          <w:spacing w:val="-4"/>
          <w:sz w:val="32"/>
          <w:szCs w:val="32"/>
        </w:rPr>
      </w:pPr>
      <w:r>
        <w:rPr>
          <w:rFonts w:hint="eastAsia" w:ascii="楷体_GB2312" w:eastAsia="楷体_GB2312"/>
          <w:spacing w:val="-4"/>
          <w:sz w:val="32"/>
          <w:szCs w:val="32"/>
        </w:rPr>
        <w:t>1． 扎实开展党史学习教育。</w:t>
      </w:r>
      <w:r>
        <w:rPr>
          <w:rFonts w:hint="eastAsia" w:ascii="仿宋_GB2312" w:eastAsia="仿宋_GB2312"/>
          <w:spacing w:val="-4"/>
          <w:sz w:val="32"/>
          <w:szCs w:val="32"/>
        </w:rPr>
        <w:t>深入贯彻中央和省委有关部署，制定实施工作方案，推动全校党员、干部做到学史明理、学史增信、学史崇德、学史力行，学党史、悟思想、办实事、开新局，积极投身全面建设社会主义现代化国家新征程，推进学校工作上新台阶。</w:t>
      </w:r>
    </w:p>
    <w:p>
      <w:pPr>
        <w:spacing w:line="576" w:lineRule="exact"/>
        <w:ind w:firstLine="624" w:firstLineChars="200"/>
        <w:rPr>
          <w:rFonts w:ascii="仿宋_GB2312" w:eastAsia="仿宋_GB2312"/>
          <w:spacing w:val="-4"/>
          <w:sz w:val="32"/>
          <w:szCs w:val="32"/>
        </w:rPr>
      </w:pPr>
      <w:r>
        <w:rPr>
          <w:rFonts w:ascii="楷体_GB2312" w:eastAsia="楷体_GB2312"/>
          <w:spacing w:val="-4"/>
          <w:sz w:val="32"/>
          <w:szCs w:val="32"/>
        </w:rPr>
        <w:t>2</w:t>
      </w:r>
      <w:r>
        <w:rPr>
          <w:rFonts w:hint="eastAsia" w:ascii="楷体_GB2312" w:eastAsia="楷体_GB2312"/>
          <w:spacing w:val="-4"/>
          <w:sz w:val="32"/>
          <w:szCs w:val="32"/>
        </w:rPr>
        <w:t>. 健全党委全面领导的体制机制</w:t>
      </w:r>
      <w:r>
        <w:rPr>
          <w:rFonts w:hint="eastAsia" w:ascii="仿宋_GB2312" w:eastAsia="仿宋_GB2312"/>
          <w:spacing w:val="-4"/>
          <w:sz w:val="32"/>
          <w:szCs w:val="32"/>
        </w:rPr>
        <w:t>。深入落实党委常委会议、校长办公会议议事规则，优化调整学校议事协调机构，促进科学决策、民主决策。强化二级党组织政治核心和把关作用，完善二级单位党组织委员会会议和党政联席会议的决策机制，健全机关、教辅单位议事规则。</w:t>
      </w:r>
    </w:p>
    <w:p>
      <w:pPr>
        <w:spacing w:line="576" w:lineRule="exact"/>
        <w:ind w:firstLine="624" w:firstLineChars="200"/>
        <w:rPr>
          <w:rFonts w:ascii="仿宋_GB2312" w:eastAsia="仿宋_GB2312"/>
          <w:spacing w:val="-4"/>
          <w:sz w:val="32"/>
          <w:szCs w:val="32"/>
        </w:rPr>
      </w:pPr>
      <w:r>
        <w:rPr>
          <w:rFonts w:ascii="楷体_GB2312" w:eastAsia="楷体_GB2312"/>
          <w:spacing w:val="-4"/>
          <w:sz w:val="32"/>
          <w:szCs w:val="32"/>
        </w:rPr>
        <w:t>3</w:t>
      </w:r>
      <w:r>
        <w:rPr>
          <w:rFonts w:hint="eastAsia" w:ascii="楷体_GB2312" w:eastAsia="楷体_GB2312"/>
          <w:spacing w:val="-4"/>
          <w:sz w:val="32"/>
          <w:szCs w:val="32"/>
        </w:rPr>
        <w:t>. 强化理论武装和思想政治工作</w:t>
      </w:r>
      <w:r>
        <w:rPr>
          <w:rFonts w:hint="eastAsia" w:ascii="仿宋_GB2312" w:eastAsia="仿宋_GB2312"/>
          <w:spacing w:val="-4"/>
          <w:sz w:val="32"/>
          <w:szCs w:val="32"/>
        </w:rPr>
        <w:t>。把学习贯彻习近平新时代中国特色社会主义思想作为首要政治任务，提升</w:t>
      </w:r>
      <w:r>
        <w:rPr>
          <w:rFonts w:eastAsia="仿宋_GB2312"/>
          <w:color w:val="000000"/>
          <w:spacing w:val="-4"/>
          <w:sz w:val="32"/>
          <w:szCs w:val="32"/>
        </w:rPr>
        <w:t>党委理论学习中心组</w:t>
      </w:r>
      <w:r>
        <w:rPr>
          <w:rFonts w:hint="eastAsia" w:ascii="仿宋_GB2312" w:eastAsia="仿宋_GB2312"/>
          <w:spacing w:val="-4"/>
          <w:sz w:val="32"/>
          <w:szCs w:val="32"/>
        </w:rPr>
        <w:t>、“第一议题”、教职工集中学习的质量和效果，推动新发展理念落地生根，贯穿学校工作各方面全过程。广泛开展迎接庆祝建党100周年系列活动。坚持马克思主义在意识形态领域指导地位，落实意识形态工作责任制。坚持宣传工作与校园文化建设有机融合、一体推进，加强文化品牌和文化站点建设。统筹规划，建好用好卢永根同志先进事迹陈列馆、校史馆、丁颖纪念馆。进一步完善“两微一网多端”全媒体传播格局。重点围绕“情、理、法”，着力创新方法、拓宽载体、搭建平台，把加强思想政治工作与解决实际问题相结合。</w:t>
      </w:r>
    </w:p>
    <w:p>
      <w:pPr>
        <w:spacing w:line="576" w:lineRule="exact"/>
        <w:ind w:firstLine="624" w:firstLineChars="200"/>
        <w:rPr>
          <w:rFonts w:ascii="仿宋_GB2312" w:eastAsia="仿宋_GB2312"/>
          <w:spacing w:val="-4"/>
          <w:sz w:val="32"/>
          <w:szCs w:val="32"/>
        </w:rPr>
      </w:pPr>
      <w:r>
        <w:rPr>
          <w:rFonts w:ascii="楷体_GB2312" w:eastAsia="楷体_GB2312"/>
          <w:spacing w:val="-4"/>
          <w:sz w:val="32"/>
          <w:szCs w:val="32"/>
        </w:rPr>
        <w:t>4</w:t>
      </w:r>
      <w:r>
        <w:rPr>
          <w:rFonts w:hint="eastAsia" w:ascii="楷体_GB2312" w:eastAsia="楷体_GB2312"/>
          <w:spacing w:val="-4"/>
          <w:sz w:val="32"/>
          <w:szCs w:val="32"/>
        </w:rPr>
        <w:t>. 健全党的基层组织体系</w:t>
      </w:r>
      <w:r>
        <w:rPr>
          <w:rFonts w:hint="eastAsia" w:ascii="仿宋_GB2312" w:eastAsia="仿宋_GB2312"/>
          <w:spacing w:val="-4"/>
          <w:sz w:val="32"/>
          <w:szCs w:val="32"/>
        </w:rPr>
        <w:t>。把党的政治建设摆在首位，强化学校党的基层组织的政治功能和组织力，建强师生党支部。巩固深化党建“双创”成果，培育打造一批可示范、可推广的党建品牌项目，进一步建强“双带头人”队伍。加强机关作风建设，选树一批“模范党支部”“党员示范岗”。坚持政治标准，加大学生党员发展力度。提升党建信息化工作水平。</w:t>
      </w:r>
    </w:p>
    <w:p>
      <w:pPr>
        <w:spacing w:line="576" w:lineRule="exact"/>
        <w:ind w:firstLine="624" w:firstLineChars="200"/>
        <w:rPr>
          <w:rFonts w:ascii="仿宋_GB2312" w:eastAsia="仿宋_GB2312"/>
          <w:spacing w:val="-4"/>
          <w:sz w:val="32"/>
          <w:szCs w:val="32"/>
        </w:rPr>
      </w:pPr>
      <w:r>
        <w:rPr>
          <w:rFonts w:ascii="楷体_GB2312" w:eastAsia="楷体_GB2312"/>
          <w:spacing w:val="-4"/>
          <w:sz w:val="32"/>
          <w:szCs w:val="32"/>
        </w:rPr>
        <w:t>5</w:t>
      </w:r>
      <w:r>
        <w:rPr>
          <w:rFonts w:hint="eastAsia" w:ascii="楷体_GB2312" w:eastAsia="楷体_GB2312"/>
          <w:spacing w:val="-4"/>
          <w:sz w:val="32"/>
          <w:szCs w:val="32"/>
        </w:rPr>
        <w:t>. 加强干部队伍和管理队伍建设</w:t>
      </w:r>
      <w:r>
        <w:rPr>
          <w:rFonts w:hint="eastAsia" w:ascii="仿宋_GB2312" w:eastAsia="仿宋_GB2312"/>
          <w:spacing w:val="-4"/>
          <w:sz w:val="32"/>
          <w:szCs w:val="32"/>
        </w:rPr>
        <w:t>。加强干部培训和交流学习，开展新任干部履职能力培训，提升党员干部政治判断力、政治领悟力、政治执行力。做好干部队伍建设规划，推进干部轮岗交流。</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6. 深入推进全面从严治党</w:t>
      </w:r>
      <w:r>
        <w:rPr>
          <w:rFonts w:hint="eastAsia" w:ascii="仿宋_GB2312" w:eastAsia="仿宋_GB2312"/>
          <w:spacing w:val="-4"/>
          <w:sz w:val="32"/>
          <w:szCs w:val="32"/>
        </w:rPr>
        <w:t>。全力配合做好省委巡视工作。持续加强作风建设，培育奋进文化，引导干部教师求真务实、奋发有为，整治形式主义、官僚主义等问题。深化纪检监察体制改革，探索“三转”工作新方式，把纪检、监察两项职责融合好、贯通好、执行好，实现更高层次、更高水平的“三转”。构建“三不”体制机制，深化运用监督执纪四种形态，完善监督执纪规章制度，围绕“聚焦、精准、规范、有效”要求做好监督执纪问责、监督调查处置工作。突出政治监督要求，健全巡察工作机制。</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7. 做好统一战线与群团工作</w:t>
      </w:r>
      <w:r>
        <w:rPr>
          <w:rFonts w:hint="eastAsia" w:ascii="仿宋_GB2312" w:eastAsia="仿宋_GB2312"/>
          <w:spacing w:val="-4"/>
          <w:sz w:val="32"/>
          <w:szCs w:val="32"/>
        </w:rPr>
        <w:t>。加强对统战工作的统筹指导，打造统战工作新品牌，形成统战工作新合力。加强对工会、教代会工作的领导，加强专兼职工会干部队伍建设。推动建立党建带团建工作机制，实施“青年马克思主义者培养工程”，完善学生社团管理办法，强化对大学生的政治引领和价值引导。</w:t>
      </w:r>
    </w:p>
    <w:p>
      <w:pPr>
        <w:spacing w:line="576" w:lineRule="exact"/>
        <w:ind w:firstLine="624" w:firstLineChars="200"/>
        <w:rPr>
          <w:rFonts w:ascii="黑体" w:hAnsi="黑体" w:eastAsia="黑体"/>
          <w:spacing w:val="-4"/>
          <w:sz w:val="32"/>
          <w:szCs w:val="32"/>
        </w:rPr>
      </w:pPr>
      <w:r>
        <w:rPr>
          <w:rFonts w:hint="eastAsia" w:ascii="黑体" w:hAnsi="黑体" w:eastAsia="黑体"/>
          <w:spacing w:val="-4"/>
          <w:sz w:val="32"/>
          <w:szCs w:val="32"/>
        </w:rPr>
        <w:t>二、持续完善人才培养体系，进一步提高人才培养质量</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8. 落实立德树人根本任务</w:t>
      </w:r>
      <w:r>
        <w:rPr>
          <w:rFonts w:hint="eastAsia" w:ascii="仿宋_GB2312" w:eastAsia="仿宋_GB2312"/>
          <w:spacing w:val="-4"/>
          <w:sz w:val="32"/>
          <w:szCs w:val="32"/>
        </w:rPr>
        <w:t>。深化“四史”学习教育，弘扬伟大抗疫精神。着力推进新时代思政课改革创新，建强思政课教师队伍。落实《高等学校课程思政建设指导纲要》，探索思政课程与课程思政有机结合。做好“三全育人”综合改革试点总结，加快构建高质量思想政治工作体系，着力打造华农思政品牌。引导毕业生面向服务国家和区域重大发展战略和基层一线就业。发挥好校院两级关工委的作用，支持更多老同志参加关心下一代工作。</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9. 建设一流本科人才培养体系</w:t>
      </w:r>
      <w:r>
        <w:rPr>
          <w:rFonts w:hint="eastAsia" w:ascii="仿宋_GB2312" w:eastAsia="仿宋_GB2312"/>
          <w:spacing w:val="-4"/>
          <w:sz w:val="32"/>
          <w:szCs w:val="32"/>
        </w:rPr>
        <w:t>。适应新高考改革，做好招生录取工作。以“四新”建设为引领，深化人才培养模式改革，加大力度推进科教协同、产教协同育人，探索具有自身特色的“书院制”模式，完善“产业学院”育人机制。对标产业发展需求，以一流专业建设为抓手，持续推进本科专业优化调整。统筹推进一流课程与一流实验实践教学平台建设，打造“开放共享、协同创新”的实验与实践训练中心。健全“五育并举”育人体系，制定实施加强新时代劳动教育、体育、美育的具体办法。优化创新创业大赛培育激励机制。根据教育部新一轮高校本科教育教学审核评估的部署和要求，对标对表，以评促建、以评促改、以评促管，做好迎评筹备工作。</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10. 建设高水平研究生教育体系</w:t>
      </w:r>
      <w:r>
        <w:rPr>
          <w:rFonts w:hint="eastAsia" w:ascii="仿宋_GB2312" w:eastAsia="仿宋_GB2312"/>
          <w:spacing w:val="-4"/>
          <w:sz w:val="32"/>
          <w:szCs w:val="32"/>
        </w:rPr>
        <w:t>。深入落实全国和全省研究生教育会议精神，深化研究生教育教学改革。进一步扩大研究生规模，优化学位点布局，完善研究生招生和培养机制，强化研究生教学管理，提升研究生培养质量。</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11. 深化对外交流与合作</w:t>
      </w:r>
      <w:r>
        <w:rPr>
          <w:rFonts w:hint="eastAsia" w:ascii="仿宋_GB2312" w:eastAsia="仿宋_GB2312"/>
          <w:spacing w:val="-4"/>
          <w:sz w:val="32"/>
          <w:szCs w:val="32"/>
        </w:rPr>
        <w:t>。实施一流学科国际伙伴建设计划。加强与“一带一路”沿线国家交流合作，推动建设中国-拉丁美洲农业教育科技创新联盟，设立农业技术国际联合实验室和研究中心。推进与澳门科技大学“1+2+1”本科双学位项目。</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12. 推进继续教育内涵发展</w:t>
      </w:r>
      <w:r>
        <w:rPr>
          <w:rFonts w:hint="eastAsia" w:ascii="仿宋_GB2312" w:eastAsia="仿宋_GB2312"/>
          <w:spacing w:val="-4"/>
          <w:sz w:val="32"/>
          <w:szCs w:val="32"/>
        </w:rPr>
        <w:t>。修订继续教育办学管理办法，整合办学资源，挖掘学院办学潜力，扩大各类继续教育办学规模，拓展办学空间，提高办学效益。</w:t>
      </w:r>
    </w:p>
    <w:p>
      <w:pPr>
        <w:spacing w:line="576" w:lineRule="exact"/>
        <w:ind w:firstLine="624" w:firstLineChars="200"/>
        <w:rPr>
          <w:rFonts w:ascii="黑体" w:hAnsi="黑体" w:eastAsia="黑体"/>
          <w:spacing w:val="-4"/>
          <w:sz w:val="32"/>
          <w:szCs w:val="32"/>
        </w:rPr>
      </w:pPr>
      <w:r>
        <w:rPr>
          <w:rFonts w:hint="eastAsia" w:ascii="黑体" w:hAnsi="黑体" w:eastAsia="黑体"/>
          <w:spacing w:val="-4"/>
          <w:sz w:val="32"/>
          <w:szCs w:val="32"/>
        </w:rPr>
        <w:t>三、加强学科建设，提升科技创新和社会服务能力</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13. 强化学科体系建设</w:t>
      </w:r>
      <w:r>
        <w:rPr>
          <w:rFonts w:hint="eastAsia" w:ascii="仿宋_GB2312" w:eastAsia="仿宋_GB2312"/>
          <w:spacing w:val="-4"/>
          <w:sz w:val="32"/>
          <w:szCs w:val="32"/>
        </w:rPr>
        <w:t>。瞄准科技前沿和关键领域，凝练学科方向，推进学科交叉融合，优化布局“十四五”时期学科增长点。稳步推进学科团队和学科平台建设。</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14. 加强重大科研项目组织和团队建设。</w:t>
      </w:r>
      <w:r>
        <w:rPr>
          <w:rFonts w:hint="eastAsia" w:ascii="仿宋_GB2312" w:eastAsia="仿宋_GB2312"/>
          <w:spacing w:val="-4"/>
          <w:sz w:val="32"/>
          <w:szCs w:val="32"/>
        </w:rPr>
        <w:t>面向国家重大战略需求，围绕现代种业、耕地保护与高效利用、智慧农业、生态健康、未来食品等重点领域，打造3-5个交叉创新平台或团队。着力做好国家自然科学基金申报工作，力争在重大项目及人才团队项目上取得新突破。破解产业发展关键核心技术，坚持军民融合与创新驱动发展战略相结合，开展协同攻关，培育新的增长点。</w:t>
      </w:r>
    </w:p>
    <w:p>
      <w:pPr>
        <w:spacing w:line="576" w:lineRule="exact"/>
        <w:ind w:firstLine="624" w:firstLineChars="200"/>
        <w:rPr>
          <w:rFonts w:ascii="楷体_GB2312" w:eastAsia="楷体_GB2312"/>
          <w:spacing w:val="-4"/>
          <w:sz w:val="32"/>
          <w:szCs w:val="32"/>
        </w:rPr>
      </w:pPr>
      <w:r>
        <w:rPr>
          <w:rFonts w:hint="eastAsia" w:ascii="楷体_GB2312" w:eastAsia="楷体_GB2312"/>
          <w:spacing w:val="-4"/>
          <w:sz w:val="32"/>
          <w:szCs w:val="32"/>
        </w:rPr>
        <w:t>15. 加强科研平台建设和成果培育。</w:t>
      </w:r>
      <w:r>
        <w:rPr>
          <w:rFonts w:hint="eastAsia" w:ascii="仿宋_GB2312" w:eastAsia="仿宋_GB2312"/>
          <w:spacing w:val="-4"/>
          <w:sz w:val="32"/>
          <w:szCs w:val="32"/>
        </w:rPr>
        <w:t>围绕国家和区域战略需求及产业需求，健全科研平台建设体系，重点推进省部共建亚热带动物流行病控制国家重点实验室，积极参与建设国家技术创新中心，全力推动岭南现代农业省实验室建设。理顺科研平台管理体制机制，促进开放共享协作。优化调整校级研究机构，推进公共科研平台建设。建好与地方和企业共建技术创新平台，建好成果转化和技术转移基地。落实好国家知识产权试点工作。优化重大科技成果奖的培育和申报工作。</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16. 推进社会服务能力跃升。</w:t>
      </w:r>
      <w:r>
        <w:rPr>
          <w:rFonts w:hint="eastAsia" w:ascii="仿宋_GB2312" w:eastAsia="仿宋_GB2312"/>
          <w:spacing w:val="-4"/>
          <w:sz w:val="32"/>
          <w:szCs w:val="32"/>
        </w:rPr>
        <w:t>积极参与乡村振兴战略实施和乡村建设行动，助力农村人居环境整治提升。推动构建新型农业科技社会化服务体系，优化“点-线-面”乡村振兴服务网络，创新科技特派员全产业链服务模式，建好全国骨干科技特派员南方培训基地，打造服务乡村振兴示范样板。深化服务现代农业、数字农业、农业装备等功能性农业产业园，提升校地校企合作效能。建好广东乡村振兴干部学院。巩固拓展脱贫攻坚成果，贯彻落实东西部协作战略。整合广东涉农高校资源，做实做强广东高校服务乡村振兴共同体。</w:t>
      </w:r>
    </w:p>
    <w:p>
      <w:pPr>
        <w:spacing w:line="576" w:lineRule="exact"/>
        <w:ind w:firstLine="624" w:firstLineChars="200"/>
        <w:rPr>
          <w:rFonts w:ascii="黑体" w:hAnsi="黑体" w:eastAsia="黑体"/>
          <w:color w:val="000000"/>
          <w:spacing w:val="-4"/>
          <w:sz w:val="32"/>
          <w:szCs w:val="32"/>
        </w:rPr>
      </w:pPr>
      <w:r>
        <w:rPr>
          <w:rFonts w:hint="eastAsia" w:ascii="黑体" w:hAnsi="黑体" w:eastAsia="黑体"/>
          <w:spacing w:val="-4"/>
          <w:sz w:val="32"/>
          <w:szCs w:val="32"/>
        </w:rPr>
        <w:t>四、加强教师队伍建设</w:t>
      </w:r>
      <w:r>
        <w:rPr>
          <w:rFonts w:hint="eastAsia" w:ascii="黑体" w:hAnsi="黑体" w:eastAsia="黑体"/>
          <w:color w:val="000000"/>
          <w:spacing w:val="-4"/>
          <w:sz w:val="32"/>
          <w:szCs w:val="32"/>
        </w:rPr>
        <w:t>，为高质量发展提供人才支撑</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17. 严格落实师德师风要求</w:t>
      </w:r>
      <w:r>
        <w:rPr>
          <w:rFonts w:hint="eastAsia" w:ascii="仿宋_GB2312" w:eastAsia="仿宋_GB2312"/>
          <w:spacing w:val="-4"/>
          <w:sz w:val="32"/>
          <w:szCs w:val="32"/>
        </w:rPr>
        <w:t>。坚持把师德师风作为评价教师的第一标准，系统检视教师职业行为准则的落地情况，严把考核关、监督关。着力抓好教师思想政治工作，打造德才兼备的高素质教师队伍。</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18. 推进教师管理综合改革</w:t>
      </w:r>
      <w:r>
        <w:rPr>
          <w:rFonts w:hint="eastAsia" w:ascii="仿宋_GB2312" w:eastAsia="仿宋_GB2312"/>
          <w:spacing w:val="-4"/>
          <w:sz w:val="32"/>
          <w:szCs w:val="32"/>
        </w:rPr>
        <w:t>。落实教育部等六部门《关于加强新时代高校教师队伍建设改革的指导意见》，完善教师评价机制，修订人才评价、职称评审、教职工考核聘用和奖励等制度。落实研究生导师指导行为准则，引导教师把更多精力投入教书育人。</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19. 完善人才引育机制</w:t>
      </w:r>
      <w:r>
        <w:rPr>
          <w:rFonts w:hint="eastAsia" w:ascii="仿宋_GB2312" w:eastAsia="仿宋_GB2312"/>
          <w:spacing w:val="-4"/>
          <w:sz w:val="32"/>
          <w:szCs w:val="32"/>
        </w:rPr>
        <w:t>。开展“丁颖学者”遴选和聘任工作。制定精准引人计划，优化师资队伍结构。加大优秀青年教师培养力度。完善博士后管理制度，促进博士后队伍数量和质量双提升。</w:t>
      </w:r>
      <w:r>
        <w:rPr>
          <w:rFonts w:hint="eastAsia" w:ascii="仿宋_GB2312" w:hAnsi="仿宋_GB2312" w:eastAsia="仿宋_GB2312" w:cs="仿宋_GB2312"/>
          <w:sz w:val="32"/>
          <w:szCs w:val="32"/>
        </w:rPr>
        <w:t>充分发挥教师发展中心职能，促进</w:t>
      </w:r>
      <w:r>
        <w:rPr>
          <w:rFonts w:ascii="仿宋_GB2312" w:hAnsi="仿宋_GB2312" w:eastAsia="仿宋_GB2312" w:cs="仿宋_GB2312"/>
          <w:sz w:val="32"/>
          <w:szCs w:val="32"/>
        </w:rPr>
        <w:t>教师全面发展</w:t>
      </w:r>
      <w:r>
        <w:rPr>
          <w:rFonts w:hint="eastAsia" w:ascii="仿宋_GB2312" w:hAnsi="仿宋_GB2312" w:eastAsia="仿宋_GB2312" w:cs="仿宋_GB2312"/>
          <w:sz w:val="32"/>
          <w:szCs w:val="32"/>
        </w:rPr>
        <w:t>。</w:t>
      </w:r>
      <w:r>
        <w:rPr>
          <w:rFonts w:hint="eastAsia" w:ascii="仿宋_GB2312" w:eastAsia="仿宋_GB2312"/>
          <w:spacing w:val="-4"/>
          <w:sz w:val="32"/>
          <w:szCs w:val="32"/>
        </w:rPr>
        <w:t>完善人才激励机制。</w:t>
      </w:r>
    </w:p>
    <w:p>
      <w:pPr>
        <w:spacing w:line="576" w:lineRule="exact"/>
        <w:ind w:firstLine="624" w:firstLineChars="200"/>
        <w:rPr>
          <w:rFonts w:ascii="黑体" w:hAnsi="黑体" w:eastAsia="黑体"/>
          <w:spacing w:val="-4"/>
          <w:sz w:val="32"/>
          <w:szCs w:val="32"/>
        </w:rPr>
      </w:pPr>
      <w:r>
        <w:rPr>
          <w:rFonts w:hint="eastAsia" w:ascii="黑体" w:hAnsi="黑体" w:eastAsia="黑体"/>
          <w:spacing w:val="-4"/>
          <w:sz w:val="32"/>
          <w:szCs w:val="32"/>
        </w:rPr>
        <w:t>五、深化综合改革，为高质量发展增活力添动力</w:t>
      </w:r>
    </w:p>
    <w:p>
      <w:pPr>
        <w:spacing w:line="576" w:lineRule="exact"/>
        <w:ind w:firstLine="624" w:firstLineChars="200"/>
        <w:rPr>
          <w:rFonts w:ascii="楷体_GB2312" w:eastAsia="楷体_GB2312"/>
          <w:spacing w:val="-4"/>
          <w:sz w:val="32"/>
          <w:szCs w:val="32"/>
        </w:rPr>
      </w:pPr>
      <w:r>
        <w:rPr>
          <w:rFonts w:hint="eastAsia" w:ascii="楷体_GB2312" w:eastAsia="楷体_GB2312"/>
          <w:spacing w:val="-4"/>
          <w:sz w:val="32"/>
          <w:szCs w:val="32"/>
        </w:rPr>
        <w:t>20. 做好事业发展规划</w:t>
      </w:r>
      <w:r>
        <w:rPr>
          <w:rFonts w:hint="eastAsia" w:ascii="仿宋_GB2312" w:eastAsia="仿宋_GB2312"/>
          <w:spacing w:val="-4"/>
          <w:sz w:val="32"/>
          <w:szCs w:val="32"/>
        </w:rPr>
        <w:t>。科学编制学校“十四五”事业发展规划以及学科建设、师资队伍建设、校园建设规划等专门规划，推动各学院制订“十四五”建设发展规划。制定并实施新一轮高水平大学建设和体制机制改革方案。</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21. 推动落实教育评价改革</w:t>
      </w:r>
      <w:r>
        <w:rPr>
          <w:rFonts w:hint="eastAsia" w:ascii="仿宋_GB2312" w:eastAsia="仿宋_GB2312"/>
          <w:spacing w:val="-4"/>
          <w:sz w:val="32"/>
          <w:szCs w:val="32"/>
        </w:rPr>
        <w:t>。贯彻落实《深化新时代教育评价改革总体方案》，对标我省的部署要求，把与方案精神不一致的各种做法规定坚决改过来，积极开展评价改革的探索创新。</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22. 推进治理体系和治理能力现代化</w:t>
      </w:r>
      <w:r>
        <w:rPr>
          <w:rFonts w:hint="eastAsia" w:ascii="仿宋_GB2312" w:eastAsia="仿宋_GB2312"/>
          <w:spacing w:val="-4"/>
          <w:sz w:val="32"/>
          <w:szCs w:val="32"/>
        </w:rPr>
        <w:t>。全面推进依法治校，深入学习宣传习近平法治思想，开展《华南农业大学章程》修订工作。深化校院两级管理改革</w:t>
      </w:r>
      <w:r>
        <w:rPr>
          <w:rFonts w:hint="eastAsia" w:ascii="仿宋_GB2312" w:eastAsia="仿宋_GB2312"/>
          <w:sz w:val="32"/>
          <w:szCs w:val="32"/>
        </w:rPr>
        <w:t>，进一步理顺管理体制机制</w:t>
      </w:r>
      <w:r>
        <w:rPr>
          <w:rFonts w:hint="eastAsia" w:ascii="仿宋_GB2312" w:eastAsia="仿宋_GB2312"/>
          <w:spacing w:val="-4"/>
          <w:sz w:val="32"/>
          <w:szCs w:val="32"/>
        </w:rPr>
        <w:t>。完善二级单位目标考核办法。加强内部审计制度建设，加强专项审计和工程审计，全面落实省审计厅有关审计整改要求。探索推进学校物业一体化管理改革。</w:t>
      </w:r>
    </w:p>
    <w:p>
      <w:pPr>
        <w:spacing w:line="576" w:lineRule="exact"/>
        <w:ind w:firstLine="624" w:firstLineChars="200"/>
        <w:rPr>
          <w:rFonts w:ascii="黑体" w:hAnsi="黑体" w:eastAsia="黑体"/>
          <w:spacing w:val="-4"/>
          <w:sz w:val="32"/>
          <w:szCs w:val="32"/>
        </w:rPr>
      </w:pPr>
      <w:r>
        <w:rPr>
          <w:rFonts w:hint="eastAsia" w:ascii="黑体" w:hAnsi="黑体" w:eastAsia="黑体"/>
          <w:spacing w:val="-4"/>
          <w:sz w:val="32"/>
          <w:szCs w:val="32"/>
        </w:rPr>
        <w:t>六、强化办学条件支撑，提高服务保障水平</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23. 积极拓展办学资源</w:t>
      </w:r>
      <w:r>
        <w:rPr>
          <w:rFonts w:hint="eastAsia" w:ascii="仿宋_GB2312" w:eastAsia="仿宋_GB2312"/>
          <w:spacing w:val="-4"/>
          <w:sz w:val="32"/>
          <w:szCs w:val="32"/>
        </w:rPr>
        <w:t>。着力推进部省共建工作。落实开源节流、增收节支各项措施。完善教育基金会管理机制，壮大基金实力。持续推动银校合作等对外合作项目。加大“华农品牌”开发力度，多渠道争取社会资源。持续推进校属企业改革，制订校属企业中长期发展规划，实施目标考核管理，进一步提升经营效益。</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24. 优化资源配置机制</w:t>
      </w:r>
      <w:r>
        <w:rPr>
          <w:rFonts w:hint="eastAsia" w:ascii="仿宋_GB2312" w:eastAsia="仿宋_GB2312"/>
          <w:spacing w:val="-4"/>
          <w:sz w:val="32"/>
          <w:szCs w:val="32"/>
        </w:rPr>
        <w:t>。落细落实“过紧日子”的要求，完善全口径综合财务预算管理，优化支出结构。加大绩效评价考核力度，提高资金使用效益。制定校内基地资源使用考核办法，修订校内教学科研基地管理办法，提升基地服务效能。优化调整学院教学科研办公用房布局。探索房屋资源有偿使用模式，科学评估处置部分校外产权物业。推进测试中心综合改革，持续推进大型仪器共享集约管理。加强大型仪器购置论证管理。</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25. 推进智慧校园建设</w:t>
      </w:r>
      <w:r>
        <w:rPr>
          <w:rFonts w:hint="eastAsia" w:ascii="仿宋_GB2312" w:eastAsia="仿宋_GB2312"/>
          <w:spacing w:val="-4"/>
          <w:sz w:val="32"/>
          <w:szCs w:val="32"/>
        </w:rPr>
        <w:t>。加强信息化建设的统筹，深入实施智慧校园总体规划。健全信息化建设决策及项目管理评价办法。构建线上教育教学新模式，丰富在线教学资源，提升智慧课堂建设质量。持续推进数据治理，完善大数据展示系统。加强信息安全体系建设。</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26. 加强校园规划和基本建设</w:t>
      </w:r>
      <w:r>
        <w:rPr>
          <w:rFonts w:hint="eastAsia" w:ascii="仿宋_GB2312" w:eastAsia="仿宋_GB2312"/>
          <w:spacing w:val="-4"/>
          <w:sz w:val="32"/>
          <w:szCs w:val="32"/>
        </w:rPr>
        <w:t>。</w:t>
      </w:r>
      <w:r>
        <w:rPr>
          <w:rFonts w:hint="eastAsia" w:ascii="仿宋_GB2312" w:eastAsia="仿宋_GB2312"/>
          <w:sz w:val="32"/>
          <w:szCs w:val="32"/>
        </w:rPr>
        <w:t>推进校园建设提升工程和增城校区规划工作。</w:t>
      </w:r>
      <w:r>
        <w:rPr>
          <w:rFonts w:hint="eastAsia" w:ascii="仿宋_GB2312" w:eastAsia="仿宋_GB2312"/>
          <w:spacing w:val="-4"/>
          <w:sz w:val="32"/>
          <w:szCs w:val="32"/>
        </w:rPr>
        <w:t>落实学校教学科研基地综合整治方案。加快推进综合体育馆、国际教育学院学生宿舍、研究生宿舍（1栋）建设，协助推进岭南现代农业省实验室总部大楼建设。</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27. 推进平安校园建设</w:t>
      </w:r>
      <w:r>
        <w:rPr>
          <w:rFonts w:hint="eastAsia" w:ascii="仿宋_GB2312" w:eastAsia="仿宋_GB2312"/>
          <w:spacing w:val="-4"/>
          <w:sz w:val="32"/>
          <w:szCs w:val="32"/>
        </w:rPr>
        <w:t>。慎终如始抓好疫情防控，确保教学科研正常秩序。加强校园安保工作信息化建设与智慧校园建设的统筹。完善学校消防安全管理办法。加强校卫队规范化建设。推进基层示范武装部试点建设，完成好征兵任务。加强实验室安全管理，建立实验室安全信息化系统，完善危险化学品管理机制。完善校园交通规划，加强对车辆行驶、停放的管理，规范电动自行车管理。</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28. 强化服务保障工作</w:t>
      </w:r>
      <w:r>
        <w:rPr>
          <w:rFonts w:hint="eastAsia" w:ascii="仿宋_GB2312" w:eastAsia="仿宋_GB2312"/>
          <w:spacing w:val="-4"/>
          <w:sz w:val="32"/>
          <w:szCs w:val="32"/>
        </w:rPr>
        <w:t>。进一步优化采购招标工作流程。配合政府部门做好住宅区微改造工作和校园生活垃圾分类工作。深化二级用电收费管理，提升节能用电效果。进一步健全食堂管理运营机制。加强知识产权信息服务中心建设。提升档案馆、华南农业博物馆管理服务水平。完善校友会管理制度，筹建校友企业家联盟，加强校友联络工作。</w:t>
      </w:r>
    </w:p>
    <w:p>
      <w:pPr>
        <w:spacing w:line="576" w:lineRule="exact"/>
        <w:ind w:firstLine="624" w:firstLineChars="200"/>
        <w:rPr>
          <w:rFonts w:ascii="仿宋_GB2312" w:eastAsia="仿宋_GB2312"/>
          <w:spacing w:val="-4"/>
          <w:sz w:val="32"/>
          <w:szCs w:val="32"/>
        </w:rPr>
      </w:pPr>
      <w:r>
        <w:rPr>
          <w:rFonts w:hint="eastAsia" w:ascii="楷体_GB2312" w:eastAsia="楷体_GB2312"/>
          <w:spacing w:val="-4"/>
          <w:sz w:val="32"/>
          <w:szCs w:val="32"/>
        </w:rPr>
        <w:t>29. 办好民生实事</w:t>
      </w:r>
      <w:r>
        <w:rPr>
          <w:rFonts w:hint="eastAsia" w:ascii="仿宋_GB2312" w:eastAsia="仿宋_GB2312"/>
          <w:spacing w:val="-4"/>
          <w:sz w:val="32"/>
          <w:szCs w:val="32"/>
        </w:rPr>
        <w:t>。大力推进人才公寓、校医院、凤阳路隧道拓宽改造和应急避护场所配套设施项目等民生工程的建设工作。完成2021级新生宿舍维修。加强和规范“教职工小家”建设，增强教职工的归属感和凝聚力。进一步提升医疗保健服务和离退休工作水平。</w:t>
      </w:r>
    </w:p>
    <w:p>
      <w:pPr>
        <w:spacing w:line="20" w:lineRule="exact"/>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ascii="仿宋_GB2312" w:eastAsia="仿宋_GB2312"/>
          <w:sz w:val="32"/>
          <w:szCs w:val="32"/>
        </w:rPr>
      </w:pPr>
    </w:p>
    <w:p>
      <w:pPr>
        <w:spacing w:before="312" w:beforeLines="100" w:line="360" w:lineRule="exact"/>
        <w:ind w:firstLine="312" w:firstLineChars="100"/>
        <w:rPr>
          <w:rFonts w:hint="eastAsia" w:ascii="仿宋_GB2312" w:eastAsia="仿宋_GB2312"/>
          <w:spacing w:val="-4"/>
          <w:sz w:val="28"/>
          <w:szCs w:val="28"/>
        </w:rPr>
      </w:pPr>
      <w:r>
        <w:rPr>
          <w:rFonts w:hint="eastAsia" w:ascii="黑体" w:eastAsia="黑体"/>
          <w:spacing w:val="-4"/>
          <w:sz w:val="32"/>
        </w:rPr>
        <w:t>公开方式</w:t>
      </w:r>
      <w:r>
        <w:rPr>
          <w:rFonts w:hint="eastAsia" w:ascii="仿宋_GB2312" w:eastAsia="仿宋_GB2312"/>
          <w:spacing w:val="-4"/>
          <w:sz w:val="32"/>
        </w:rPr>
        <w:t>：主动</w:t>
      </w:r>
      <w:r>
        <w:rPr>
          <w:rFonts w:ascii="仿宋_GB2312" w:eastAsia="仿宋_GB2312"/>
          <w:spacing w:val="-4"/>
          <w:sz w:val="32"/>
        </w:rPr>
        <w:t>公开</w:t>
      </w:r>
    </w:p>
    <w:p>
      <w:pPr>
        <w:spacing w:line="589" w:lineRule="exact"/>
        <w:ind w:left="1680" w:hanging="1632" w:hangingChars="600"/>
        <w:rPr>
          <w:rFonts w:hint="eastAsia" w:ascii="仿宋_GB2312" w:eastAsia="仿宋_GB2312"/>
          <w:spacing w:val="-4"/>
          <w:sz w:val="28"/>
          <w:szCs w:val="28"/>
        </w:rPr>
      </w:pPr>
      <w:r>
        <w:rPr>
          <w:rFonts w:hint="eastAsia" w:ascii="仿宋_GB2312" w:eastAsia="仿宋_GB2312"/>
          <w:spacing w:val="-4"/>
          <w:sz w:val="28"/>
          <w:szCs w:val="28"/>
        </w:rPr>
        <w:pict>
          <v:line id="直线 21" o:spid="_x0000_s1059" o:spt="20" style="position:absolute;left:0pt;margin-left:0.75pt;margin-top:0.8pt;height:0pt;width:441pt;z-index:251659264;mso-width-relative:page;mso-height-relative:page;" coordsize="21600,21600">
            <v:path arrowok="t"/>
            <v:fill focussize="0,0"/>
            <v:stroke/>
            <v:imagedata o:title=""/>
            <o:lock v:ext="edit"/>
          </v:line>
        </w:pict>
      </w:r>
      <w:r>
        <w:rPr>
          <w:rFonts w:hint="eastAsia" w:ascii="仿宋_GB2312" w:eastAsia="仿宋_GB2312"/>
          <w:spacing w:val="-4"/>
          <w:sz w:val="28"/>
          <w:szCs w:val="28"/>
        </w:rPr>
        <w:t xml:space="preserve">  </w:t>
      </w:r>
      <w:r>
        <w:rPr>
          <w:rFonts w:hint="eastAsia" w:ascii="仿宋_GB2312" w:hAnsi="仿宋" w:eastAsia="仿宋_GB2312"/>
          <w:spacing w:val="-4"/>
          <w:kern w:val="0"/>
          <w:sz w:val="28"/>
          <w:szCs w:val="28"/>
        </w:rPr>
        <w:t>华南农业大学党政办公室</w:t>
      </w:r>
      <w:r>
        <w:rPr>
          <w:rFonts w:hint="eastAsia" w:ascii="仿宋_GB2312" w:eastAsia="仿宋_GB2312"/>
          <w:spacing w:val="-4"/>
          <w:sz w:val="28"/>
          <w:szCs w:val="28"/>
        </w:rPr>
        <w:t xml:space="preserve">          </w:t>
      </w:r>
      <w:r>
        <w:rPr>
          <w:rFonts w:ascii="仿宋_GB2312" w:eastAsia="仿宋_GB2312"/>
          <w:spacing w:val="-4"/>
          <w:sz w:val="28"/>
          <w:szCs w:val="28"/>
        </w:rPr>
        <w:t xml:space="preserve"> </w:t>
      </w:r>
      <w:r>
        <w:rPr>
          <w:rFonts w:hint="eastAsia" w:ascii="仿宋_GB2312" w:eastAsia="仿宋_GB2312"/>
          <w:spacing w:val="-4"/>
          <w:sz w:val="28"/>
          <w:szCs w:val="28"/>
        </w:rPr>
        <w:t xml:space="preserve">          2021年3月5日印发 </w:t>
      </w:r>
    </w:p>
    <w:p>
      <w:pPr>
        <w:spacing w:line="20" w:lineRule="exact"/>
        <w:rPr>
          <w:rFonts w:hint="eastAsia" w:ascii="Times New Roman" w:hAnsi="Times New Roman"/>
          <w:spacing w:val="-4"/>
          <w:szCs w:val="24"/>
        </w:rPr>
      </w:pPr>
      <w:r>
        <w:rPr>
          <w:spacing w:val="-4"/>
        </w:rPr>
        <w:pict>
          <v:line id="直线 20" o:spid="_x0000_s1058" o:spt="20" style="position:absolute;left:0pt;margin-left:0.75pt;margin-top:4.45pt;height:0pt;width:441pt;z-index:251658240;mso-width-relative:page;mso-height-relative:page;" coordsize="21600,21600">
            <v:path arrowok="t"/>
            <v:fill focussize="0,0"/>
            <v:stroke/>
            <v:imagedata o:title=""/>
            <o:lock v:ext="edit"/>
          </v:line>
        </w:pict>
      </w:r>
    </w:p>
    <w:p>
      <w:pPr>
        <w:pStyle w:val="9"/>
        <w:shd w:val="clear" w:color="auto" w:fill="FFFFFF"/>
        <w:spacing w:before="0" w:beforeAutospacing="0" w:after="0" w:afterAutospacing="0" w:line="40" w:lineRule="exact"/>
        <w:rPr>
          <w:rFonts w:hint="eastAsia" w:ascii="仿宋_GB2312" w:eastAsia="仿宋_GB2312"/>
          <w:spacing w:val="-4"/>
          <w:sz w:val="32"/>
          <w:szCs w:val="32"/>
        </w:rPr>
      </w:pPr>
    </w:p>
    <w:p>
      <w:pPr>
        <w:pStyle w:val="9"/>
        <w:shd w:val="clear" w:color="auto" w:fill="FFFFFF"/>
        <w:spacing w:before="0" w:beforeAutospacing="0" w:after="0" w:afterAutospacing="0" w:line="20" w:lineRule="exact"/>
        <w:rPr>
          <w:rFonts w:hint="eastAsia" w:ascii="黑体" w:hAnsi="黑体" w:eastAsia="黑体"/>
          <w:spacing w:val="-4"/>
          <w:sz w:val="32"/>
          <w:szCs w:val="32"/>
        </w:rPr>
      </w:pPr>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2010601030101010101"/>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246" w:wrap="around" w:vAnchor="text" w:hAnchor="page" w:x="13306" w:y="-253"/>
      <w:wordWrap w:val="0"/>
      <w:jc w:val="right"/>
      <w:rPr>
        <w:rStyle w:val="14"/>
        <w:rFonts w:hint="eastAsia" w:ascii="宋体"/>
        <w:spacing w:val="-20"/>
        <w:sz w:val="28"/>
        <w:szCs w:val="28"/>
      </w:rPr>
    </w:pPr>
    <w:r>
      <w:rPr>
        <w:rStyle w:val="14"/>
        <w:rFonts w:ascii="宋体"/>
        <w:spacing w:val="-20"/>
        <w:sz w:val="28"/>
        <w:szCs w:val="28"/>
      </w:rPr>
      <w:t xml:space="preserve">— </w:t>
    </w:r>
    <w:r>
      <w:rPr>
        <w:rFonts w:ascii="宋体"/>
        <w:spacing w:val="-20"/>
        <w:sz w:val="28"/>
        <w:szCs w:val="28"/>
      </w:rPr>
      <w:fldChar w:fldCharType="begin"/>
    </w:r>
    <w:r>
      <w:rPr>
        <w:rStyle w:val="14"/>
        <w:rFonts w:ascii="宋体"/>
        <w:spacing w:val="-20"/>
        <w:sz w:val="28"/>
        <w:szCs w:val="28"/>
      </w:rPr>
      <w:instrText xml:space="preserve">PAGE  </w:instrText>
    </w:r>
    <w:r>
      <w:rPr>
        <w:rFonts w:ascii="宋体"/>
        <w:spacing w:val="-20"/>
        <w:sz w:val="28"/>
        <w:szCs w:val="28"/>
      </w:rPr>
      <w:fldChar w:fldCharType="separate"/>
    </w:r>
    <w:r>
      <w:rPr>
        <w:rStyle w:val="14"/>
        <w:rFonts w:ascii="宋体"/>
        <w:spacing w:val="-20"/>
        <w:sz w:val="28"/>
        <w:szCs w:val="28"/>
        <w:lang/>
      </w:rPr>
      <w:t>9</w:t>
    </w:r>
    <w:r>
      <w:rPr>
        <w:rFonts w:ascii="宋体"/>
        <w:spacing w:val="-20"/>
        <w:sz w:val="28"/>
        <w:szCs w:val="28"/>
      </w:rPr>
      <w:fldChar w:fldCharType="end"/>
    </w:r>
    <w:r>
      <w:rPr>
        <w:rStyle w:val="14"/>
        <w:rFonts w:hint="eastAsia" w:ascii="宋体"/>
        <w:spacing w:val="-20"/>
        <w:sz w:val="28"/>
        <w:szCs w:val="28"/>
      </w:rPr>
      <w:t xml:space="preserve"> </w:t>
    </w:r>
    <w:r>
      <w:rPr>
        <w:rStyle w:val="14"/>
        <w:rFonts w:ascii="宋体"/>
        <w:spacing w:val="-20"/>
        <w:sz w:val="28"/>
        <w:szCs w:val="28"/>
      </w:rPr>
      <w:t>—</w:t>
    </w:r>
    <w:r>
      <w:rPr>
        <w:rStyle w:val="14"/>
        <w:rFonts w:hint="eastAsia" w:ascii="宋体"/>
        <w:spacing w:val="-20"/>
        <w:sz w:val="28"/>
        <w:szCs w:val="28"/>
      </w:rPr>
      <w:t xml:space="preserve">  </w:t>
    </w:r>
  </w:p>
  <w:p>
    <w:pPr>
      <w:pStyle w:val="7"/>
      <w:framePr w:w="1276" w:wrap="around" w:vAnchor="text" w:hAnchor="page" w:x="9106" w:y="-445"/>
      <w:rPr>
        <w:rStyle w:val="14"/>
        <w:rFonts w:ascii="宋体"/>
        <w:spacing w:val="-20"/>
        <w:sz w:val="28"/>
        <w:szCs w:val="28"/>
      </w:rPr>
    </w:pPr>
    <w:r>
      <w:rPr>
        <w:rStyle w:val="14"/>
        <w:rFonts w:hint="eastAsia" w:ascii="宋体"/>
        <w:spacing w:val="-20"/>
        <w:sz w:val="28"/>
        <w:szCs w:val="28"/>
      </w:rPr>
      <w:t xml:space="preserve">  </w:t>
    </w:r>
    <w:r>
      <w:rPr>
        <w:rStyle w:val="14"/>
        <w:rFonts w:ascii="宋体"/>
        <w:spacing w:val="-20"/>
        <w:sz w:val="28"/>
        <w:szCs w:val="28"/>
      </w:rPr>
      <w:t xml:space="preserve">— </w:t>
    </w:r>
    <w:r>
      <w:rPr>
        <w:rFonts w:ascii="宋体"/>
        <w:spacing w:val="-20"/>
        <w:sz w:val="28"/>
        <w:szCs w:val="28"/>
      </w:rPr>
      <w:fldChar w:fldCharType="begin"/>
    </w:r>
    <w:r>
      <w:rPr>
        <w:rStyle w:val="14"/>
        <w:rFonts w:ascii="宋体"/>
        <w:spacing w:val="-20"/>
        <w:sz w:val="28"/>
        <w:szCs w:val="28"/>
      </w:rPr>
      <w:instrText xml:space="preserve">PAGE  </w:instrText>
    </w:r>
    <w:r>
      <w:rPr>
        <w:rFonts w:ascii="宋体"/>
        <w:spacing w:val="-20"/>
        <w:sz w:val="28"/>
        <w:szCs w:val="28"/>
      </w:rPr>
      <w:fldChar w:fldCharType="separate"/>
    </w:r>
    <w:r>
      <w:rPr>
        <w:rStyle w:val="14"/>
        <w:rFonts w:ascii="宋体"/>
        <w:spacing w:val="-20"/>
        <w:sz w:val="28"/>
        <w:szCs w:val="28"/>
        <w:lang/>
      </w:rPr>
      <w:t>9</w:t>
    </w:r>
    <w:r>
      <w:rPr>
        <w:rFonts w:ascii="宋体"/>
        <w:spacing w:val="-20"/>
        <w:sz w:val="28"/>
        <w:szCs w:val="28"/>
      </w:rPr>
      <w:fldChar w:fldCharType="end"/>
    </w:r>
    <w:r>
      <w:rPr>
        <w:rStyle w:val="14"/>
        <w:rFonts w:hint="eastAsia" w:ascii="宋体"/>
        <w:spacing w:val="-20"/>
        <w:sz w:val="28"/>
        <w:szCs w:val="28"/>
      </w:rPr>
      <w:t xml:space="preserve"> </w:t>
    </w:r>
    <w:r>
      <w:rPr>
        <w:rStyle w:val="14"/>
        <w:rFonts w:ascii="宋体"/>
        <w:spacing w:val="-20"/>
        <w:sz w:val="28"/>
        <w:szCs w:val="28"/>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276" w:wrap="around" w:vAnchor="text" w:hAnchor="page" w:x="1561" w:y="-445"/>
      <w:rPr>
        <w:rStyle w:val="14"/>
        <w:rFonts w:ascii="宋体"/>
        <w:spacing w:val="-20"/>
        <w:sz w:val="28"/>
        <w:szCs w:val="28"/>
      </w:rPr>
    </w:pPr>
    <w:r>
      <w:rPr>
        <w:rStyle w:val="14"/>
        <w:rFonts w:hint="eastAsia" w:ascii="宋体"/>
        <w:spacing w:val="-20"/>
        <w:sz w:val="28"/>
        <w:szCs w:val="28"/>
      </w:rPr>
      <w:t xml:space="preserve">  </w:t>
    </w:r>
    <w:r>
      <w:rPr>
        <w:rStyle w:val="14"/>
        <w:rFonts w:ascii="宋体"/>
        <w:spacing w:val="-20"/>
        <w:sz w:val="28"/>
        <w:szCs w:val="28"/>
      </w:rPr>
      <w:t xml:space="preserve">— </w:t>
    </w:r>
    <w:r>
      <w:rPr>
        <w:rFonts w:ascii="宋体"/>
        <w:spacing w:val="-20"/>
        <w:sz w:val="28"/>
        <w:szCs w:val="28"/>
      </w:rPr>
      <w:fldChar w:fldCharType="begin"/>
    </w:r>
    <w:r>
      <w:rPr>
        <w:rStyle w:val="14"/>
        <w:rFonts w:ascii="宋体"/>
        <w:spacing w:val="-20"/>
        <w:sz w:val="28"/>
        <w:szCs w:val="28"/>
      </w:rPr>
      <w:instrText xml:space="preserve">PAGE  </w:instrText>
    </w:r>
    <w:r>
      <w:rPr>
        <w:rFonts w:ascii="宋体"/>
        <w:spacing w:val="-20"/>
        <w:sz w:val="28"/>
        <w:szCs w:val="28"/>
      </w:rPr>
      <w:fldChar w:fldCharType="separate"/>
    </w:r>
    <w:r>
      <w:rPr>
        <w:rStyle w:val="14"/>
        <w:rFonts w:ascii="宋体"/>
        <w:spacing w:val="-20"/>
        <w:sz w:val="28"/>
        <w:szCs w:val="28"/>
        <w:lang/>
      </w:rPr>
      <w:t>10</w:t>
    </w:r>
    <w:r>
      <w:rPr>
        <w:rFonts w:ascii="宋体"/>
        <w:spacing w:val="-20"/>
        <w:sz w:val="28"/>
        <w:szCs w:val="28"/>
      </w:rPr>
      <w:fldChar w:fldCharType="end"/>
    </w:r>
    <w:r>
      <w:rPr>
        <w:rStyle w:val="14"/>
        <w:rFonts w:hint="eastAsia" w:ascii="宋体"/>
        <w:spacing w:val="-20"/>
        <w:sz w:val="28"/>
        <w:szCs w:val="28"/>
      </w:rPr>
      <w:t xml:space="preserve"> </w:t>
    </w:r>
    <w:r>
      <w:rPr>
        <w:rStyle w:val="14"/>
        <w:rFonts w:ascii="宋体"/>
        <w:spacing w:val="-20"/>
        <w:sz w:val="28"/>
        <w:szCs w:val="28"/>
      </w:rPr>
      <w:t>—</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450"/>
    <w:rsid w:val="0000022A"/>
    <w:rsid w:val="000051E2"/>
    <w:rsid w:val="0001276A"/>
    <w:rsid w:val="00021973"/>
    <w:rsid w:val="000248A2"/>
    <w:rsid w:val="00030B7C"/>
    <w:rsid w:val="00040D3C"/>
    <w:rsid w:val="00043793"/>
    <w:rsid w:val="000501E7"/>
    <w:rsid w:val="00057888"/>
    <w:rsid w:val="00066999"/>
    <w:rsid w:val="00072BC9"/>
    <w:rsid w:val="0007590D"/>
    <w:rsid w:val="00076177"/>
    <w:rsid w:val="000763A7"/>
    <w:rsid w:val="00076D28"/>
    <w:rsid w:val="000815C3"/>
    <w:rsid w:val="0008679C"/>
    <w:rsid w:val="00087AE6"/>
    <w:rsid w:val="000978DF"/>
    <w:rsid w:val="000A5143"/>
    <w:rsid w:val="000A57F2"/>
    <w:rsid w:val="000B093B"/>
    <w:rsid w:val="000B6F78"/>
    <w:rsid w:val="000C1130"/>
    <w:rsid w:val="000C2CA8"/>
    <w:rsid w:val="000C5A00"/>
    <w:rsid w:val="000D0F64"/>
    <w:rsid w:val="000D1044"/>
    <w:rsid w:val="000E2F3D"/>
    <w:rsid w:val="000E3238"/>
    <w:rsid w:val="000E6624"/>
    <w:rsid w:val="000F6CB0"/>
    <w:rsid w:val="0010304F"/>
    <w:rsid w:val="00103F34"/>
    <w:rsid w:val="00106087"/>
    <w:rsid w:val="0010663C"/>
    <w:rsid w:val="00122B06"/>
    <w:rsid w:val="0012698A"/>
    <w:rsid w:val="0014174D"/>
    <w:rsid w:val="00145B38"/>
    <w:rsid w:val="00155BC0"/>
    <w:rsid w:val="00157430"/>
    <w:rsid w:val="00170E41"/>
    <w:rsid w:val="001819E3"/>
    <w:rsid w:val="001912A8"/>
    <w:rsid w:val="00193FF1"/>
    <w:rsid w:val="001A232F"/>
    <w:rsid w:val="001A29EA"/>
    <w:rsid w:val="001A31B1"/>
    <w:rsid w:val="001A4880"/>
    <w:rsid w:val="001A5F40"/>
    <w:rsid w:val="001B2966"/>
    <w:rsid w:val="001B2ED4"/>
    <w:rsid w:val="001B36A5"/>
    <w:rsid w:val="001B5A08"/>
    <w:rsid w:val="001B7B6C"/>
    <w:rsid w:val="001C006A"/>
    <w:rsid w:val="001C1E7B"/>
    <w:rsid w:val="001C58CF"/>
    <w:rsid w:val="001D55BE"/>
    <w:rsid w:val="001D56D4"/>
    <w:rsid w:val="001E5AE6"/>
    <w:rsid w:val="001F650C"/>
    <w:rsid w:val="00200524"/>
    <w:rsid w:val="00207F01"/>
    <w:rsid w:val="00212AFF"/>
    <w:rsid w:val="002366D4"/>
    <w:rsid w:val="00237A9C"/>
    <w:rsid w:val="002535AE"/>
    <w:rsid w:val="0025521B"/>
    <w:rsid w:val="00256618"/>
    <w:rsid w:val="00260F14"/>
    <w:rsid w:val="00266F56"/>
    <w:rsid w:val="00270D20"/>
    <w:rsid w:val="002735C1"/>
    <w:rsid w:val="002749B1"/>
    <w:rsid w:val="00275354"/>
    <w:rsid w:val="00277DFD"/>
    <w:rsid w:val="00280EC2"/>
    <w:rsid w:val="002823C2"/>
    <w:rsid w:val="00282D8A"/>
    <w:rsid w:val="00282DB2"/>
    <w:rsid w:val="002847B7"/>
    <w:rsid w:val="002862A5"/>
    <w:rsid w:val="002862AE"/>
    <w:rsid w:val="002906F2"/>
    <w:rsid w:val="00291752"/>
    <w:rsid w:val="002917CA"/>
    <w:rsid w:val="0029616B"/>
    <w:rsid w:val="0029676E"/>
    <w:rsid w:val="002975A3"/>
    <w:rsid w:val="002B4F26"/>
    <w:rsid w:val="002C0906"/>
    <w:rsid w:val="002C1035"/>
    <w:rsid w:val="002C714F"/>
    <w:rsid w:val="002D2D99"/>
    <w:rsid w:val="002E0C3E"/>
    <w:rsid w:val="002E534A"/>
    <w:rsid w:val="002F4105"/>
    <w:rsid w:val="002F4B69"/>
    <w:rsid w:val="00303149"/>
    <w:rsid w:val="00307DFC"/>
    <w:rsid w:val="003209A5"/>
    <w:rsid w:val="00320DB3"/>
    <w:rsid w:val="003328CA"/>
    <w:rsid w:val="0034586D"/>
    <w:rsid w:val="00351743"/>
    <w:rsid w:val="00354E84"/>
    <w:rsid w:val="003578CE"/>
    <w:rsid w:val="003627A7"/>
    <w:rsid w:val="0036604D"/>
    <w:rsid w:val="00366A06"/>
    <w:rsid w:val="0036715C"/>
    <w:rsid w:val="00370E74"/>
    <w:rsid w:val="00381CD6"/>
    <w:rsid w:val="003863B7"/>
    <w:rsid w:val="00391182"/>
    <w:rsid w:val="00393453"/>
    <w:rsid w:val="003A5EEA"/>
    <w:rsid w:val="003B242B"/>
    <w:rsid w:val="003C411E"/>
    <w:rsid w:val="003E2756"/>
    <w:rsid w:val="003E7DA7"/>
    <w:rsid w:val="00401BC0"/>
    <w:rsid w:val="004049E8"/>
    <w:rsid w:val="00410308"/>
    <w:rsid w:val="0041467A"/>
    <w:rsid w:val="00425A67"/>
    <w:rsid w:val="00425B7D"/>
    <w:rsid w:val="004268AA"/>
    <w:rsid w:val="00432D1A"/>
    <w:rsid w:val="004372EA"/>
    <w:rsid w:val="00451A34"/>
    <w:rsid w:val="00457EF7"/>
    <w:rsid w:val="00463F33"/>
    <w:rsid w:val="004730EB"/>
    <w:rsid w:val="00482998"/>
    <w:rsid w:val="00484266"/>
    <w:rsid w:val="004862AB"/>
    <w:rsid w:val="00496EE7"/>
    <w:rsid w:val="004A35C0"/>
    <w:rsid w:val="004A3AE9"/>
    <w:rsid w:val="004A3C0A"/>
    <w:rsid w:val="004A6862"/>
    <w:rsid w:val="004A70C3"/>
    <w:rsid w:val="004B0314"/>
    <w:rsid w:val="004D1202"/>
    <w:rsid w:val="004D28F0"/>
    <w:rsid w:val="004E6AB3"/>
    <w:rsid w:val="00504943"/>
    <w:rsid w:val="00504ABB"/>
    <w:rsid w:val="00511045"/>
    <w:rsid w:val="0051148E"/>
    <w:rsid w:val="00512DE9"/>
    <w:rsid w:val="0053288F"/>
    <w:rsid w:val="00534716"/>
    <w:rsid w:val="00535669"/>
    <w:rsid w:val="005533C4"/>
    <w:rsid w:val="00553EBF"/>
    <w:rsid w:val="00554BDA"/>
    <w:rsid w:val="005574BB"/>
    <w:rsid w:val="00566C4F"/>
    <w:rsid w:val="00566ECF"/>
    <w:rsid w:val="005673EC"/>
    <w:rsid w:val="0057759E"/>
    <w:rsid w:val="00580462"/>
    <w:rsid w:val="00581013"/>
    <w:rsid w:val="005810FA"/>
    <w:rsid w:val="00582D4E"/>
    <w:rsid w:val="00586769"/>
    <w:rsid w:val="00591783"/>
    <w:rsid w:val="00592A75"/>
    <w:rsid w:val="005A05BC"/>
    <w:rsid w:val="005A3BA6"/>
    <w:rsid w:val="005A413D"/>
    <w:rsid w:val="005A758A"/>
    <w:rsid w:val="005B4EC2"/>
    <w:rsid w:val="005B5553"/>
    <w:rsid w:val="005C0E19"/>
    <w:rsid w:val="005C6A0F"/>
    <w:rsid w:val="005D1C40"/>
    <w:rsid w:val="005D2758"/>
    <w:rsid w:val="005D3EA6"/>
    <w:rsid w:val="005E2B4F"/>
    <w:rsid w:val="005E42DD"/>
    <w:rsid w:val="005E5213"/>
    <w:rsid w:val="005F6E68"/>
    <w:rsid w:val="006016BE"/>
    <w:rsid w:val="00602406"/>
    <w:rsid w:val="006079D9"/>
    <w:rsid w:val="00613355"/>
    <w:rsid w:val="00613FA5"/>
    <w:rsid w:val="00626717"/>
    <w:rsid w:val="00636187"/>
    <w:rsid w:val="00640DF7"/>
    <w:rsid w:val="00642F12"/>
    <w:rsid w:val="0064372C"/>
    <w:rsid w:val="0064402F"/>
    <w:rsid w:val="006478A3"/>
    <w:rsid w:val="00652462"/>
    <w:rsid w:val="00656270"/>
    <w:rsid w:val="00656D81"/>
    <w:rsid w:val="006668E0"/>
    <w:rsid w:val="0067066D"/>
    <w:rsid w:val="006742EA"/>
    <w:rsid w:val="0068032F"/>
    <w:rsid w:val="00686F11"/>
    <w:rsid w:val="00687691"/>
    <w:rsid w:val="00694031"/>
    <w:rsid w:val="006A2487"/>
    <w:rsid w:val="006A678F"/>
    <w:rsid w:val="006B360C"/>
    <w:rsid w:val="006B43B4"/>
    <w:rsid w:val="006B4EBA"/>
    <w:rsid w:val="006C32D0"/>
    <w:rsid w:val="006D3067"/>
    <w:rsid w:val="006D45F7"/>
    <w:rsid w:val="006E0568"/>
    <w:rsid w:val="006F5BBE"/>
    <w:rsid w:val="00703788"/>
    <w:rsid w:val="007059FA"/>
    <w:rsid w:val="00711FC8"/>
    <w:rsid w:val="007148DA"/>
    <w:rsid w:val="007159C3"/>
    <w:rsid w:val="00715A70"/>
    <w:rsid w:val="007215E8"/>
    <w:rsid w:val="00730E91"/>
    <w:rsid w:val="00734996"/>
    <w:rsid w:val="00736379"/>
    <w:rsid w:val="00737462"/>
    <w:rsid w:val="007611DD"/>
    <w:rsid w:val="00763135"/>
    <w:rsid w:val="007639D6"/>
    <w:rsid w:val="007655E2"/>
    <w:rsid w:val="007702AE"/>
    <w:rsid w:val="007710C6"/>
    <w:rsid w:val="00772C5A"/>
    <w:rsid w:val="007762A7"/>
    <w:rsid w:val="00777861"/>
    <w:rsid w:val="00780886"/>
    <w:rsid w:val="00780B94"/>
    <w:rsid w:val="0078315E"/>
    <w:rsid w:val="0078404B"/>
    <w:rsid w:val="00786DE5"/>
    <w:rsid w:val="00790489"/>
    <w:rsid w:val="007924D7"/>
    <w:rsid w:val="00796720"/>
    <w:rsid w:val="007A038C"/>
    <w:rsid w:val="007B3330"/>
    <w:rsid w:val="007C0A3D"/>
    <w:rsid w:val="007C26AB"/>
    <w:rsid w:val="007C3A5B"/>
    <w:rsid w:val="007C79EE"/>
    <w:rsid w:val="007D0A08"/>
    <w:rsid w:val="007D69C5"/>
    <w:rsid w:val="007E1134"/>
    <w:rsid w:val="007F030D"/>
    <w:rsid w:val="007F17AA"/>
    <w:rsid w:val="007F5610"/>
    <w:rsid w:val="007F692D"/>
    <w:rsid w:val="008216BE"/>
    <w:rsid w:val="00833F16"/>
    <w:rsid w:val="008467F8"/>
    <w:rsid w:val="008512E8"/>
    <w:rsid w:val="008532E3"/>
    <w:rsid w:val="00855D22"/>
    <w:rsid w:val="008606B9"/>
    <w:rsid w:val="0087132D"/>
    <w:rsid w:val="00872360"/>
    <w:rsid w:val="008759DC"/>
    <w:rsid w:val="00885F56"/>
    <w:rsid w:val="00886B6E"/>
    <w:rsid w:val="008909D4"/>
    <w:rsid w:val="0089615F"/>
    <w:rsid w:val="00897350"/>
    <w:rsid w:val="008A029B"/>
    <w:rsid w:val="008A085D"/>
    <w:rsid w:val="008B1B23"/>
    <w:rsid w:val="008B53EF"/>
    <w:rsid w:val="008B5A4A"/>
    <w:rsid w:val="008C3771"/>
    <w:rsid w:val="008C7AFD"/>
    <w:rsid w:val="008D1438"/>
    <w:rsid w:val="008D3795"/>
    <w:rsid w:val="008F3152"/>
    <w:rsid w:val="00907EAA"/>
    <w:rsid w:val="00922555"/>
    <w:rsid w:val="00926412"/>
    <w:rsid w:val="00936B70"/>
    <w:rsid w:val="00941981"/>
    <w:rsid w:val="009442AB"/>
    <w:rsid w:val="00946774"/>
    <w:rsid w:val="009521CA"/>
    <w:rsid w:val="00954BBD"/>
    <w:rsid w:val="00960176"/>
    <w:rsid w:val="00970427"/>
    <w:rsid w:val="00972E81"/>
    <w:rsid w:val="0097648C"/>
    <w:rsid w:val="009861D8"/>
    <w:rsid w:val="009923E6"/>
    <w:rsid w:val="009A4B09"/>
    <w:rsid w:val="009B34D6"/>
    <w:rsid w:val="009B3574"/>
    <w:rsid w:val="009B6EB3"/>
    <w:rsid w:val="009B729B"/>
    <w:rsid w:val="009C43C2"/>
    <w:rsid w:val="009C6A01"/>
    <w:rsid w:val="009D6FC0"/>
    <w:rsid w:val="009E3175"/>
    <w:rsid w:val="009F2337"/>
    <w:rsid w:val="009F3FA3"/>
    <w:rsid w:val="009F6995"/>
    <w:rsid w:val="009F7646"/>
    <w:rsid w:val="009F787D"/>
    <w:rsid w:val="00A00F18"/>
    <w:rsid w:val="00A079AB"/>
    <w:rsid w:val="00A102FD"/>
    <w:rsid w:val="00A16B84"/>
    <w:rsid w:val="00A17FD7"/>
    <w:rsid w:val="00A25FB9"/>
    <w:rsid w:val="00A32F44"/>
    <w:rsid w:val="00A35254"/>
    <w:rsid w:val="00A3575F"/>
    <w:rsid w:val="00A43D43"/>
    <w:rsid w:val="00A4453C"/>
    <w:rsid w:val="00A44C29"/>
    <w:rsid w:val="00A5148C"/>
    <w:rsid w:val="00A53B4F"/>
    <w:rsid w:val="00A54D12"/>
    <w:rsid w:val="00A6022D"/>
    <w:rsid w:val="00A64A6F"/>
    <w:rsid w:val="00A70283"/>
    <w:rsid w:val="00A74C3B"/>
    <w:rsid w:val="00A75059"/>
    <w:rsid w:val="00A83981"/>
    <w:rsid w:val="00A92152"/>
    <w:rsid w:val="00A92BFA"/>
    <w:rsid w:val="00A95A3F"/>
    <w:rsid w:val="00A96B38"/>
    <w:rsid w:val="00AA0500"/>
    <w:rsid w:val="00AA0EEF"/>
    <w:rsid w:val="00AA2E3F"/>
    <w:rsid w:val="00AC26D2"/>
    <w:rsid w:val="00AC696A"/>
    <w:rsid w:val="00AD01EB"/>
    <w:rsid w:val="00AD61D8"/>
    <w:rsid w:val="00AE750B"/>
    <w:rsid w:val="00AF40C2"/>
    <w:rsid w:val="00B04B43"/>
    <w:rsid w:val="00B05407"/>
    <w:rsid w:val="00B157AB"/>
    <w:rsid w:val="00B17E84"/>
    <w:rsid w:val="00B21526"/>
    <w:rsid w:val="00B27C68"/>
    <w:rsid w:val="00B3493C"/>
    <w:rsid w:val="00B45786"/>
    <w:rsid w:val="00B50A80"/>
    <w:rsid w:val="00B51A54"/>
    <w:rsid w:val="00B525F1"/>
    <w:rsid w:val="00B54879"/>
    <w:rsid w:val="00B551FE"/>
    <w:rsid w:val="00B70EA9"/>
    <w:rsid w:val="00B73ACA"/>
    <w:rsid w:val="00B762A9"/>
    <w:rsid w:val="00B76E83"/>
    <w:rsid w:val="00B87130"/>
    <w:rsid w:val="00B87FDC"/>
    <w:rsid w:val="00B90099"/>
    <w:rsid w:val="00B94EB6"/>
    <w:rsid w:val="00B96FFD"/>
    <w:rsid w:val="00BA09E8"/>
    <w:rsid w:val="00BA245E"/>
    <w:rsid w:val="00BB126C"/>
    <w:rsid w:val="00BB147A"/>
    <w:rsid w:val="00BB43E5"/>
    <w:rsid w:val="00BB6073"/>
    <w:rsid w:val="00BC1952"/>
    <w:rsid w:val="00BC43D1"/>
    <w:rsid w:val="00BC5E41"/>
    <w:rsid w:val="00BD3500"/>
    <w:rsid w:val="00BD5FDA"/>
    <w:rsid w:val="00BD6530"/>
    <w:rsid w:val="00BD77FA"/>
    <w:rsid w:val="00BE3D1B"/>
    <w:rsid w:val="00BE7167"/>
    <w:rsid w:val="00BF7411"/>
    <w:rsid w:val="00C00E4F"/>
    <w:rsid w:val="00C0147D"/>
    <w:rsid w:val="00C10DB3"/>
    <w:rsid w:val="00C14E96"/>
    <w:rsid w:val="00C21A2D"/>
    <w:rsid w:val="00C26A77"/>
    <w:rsid w:val="00C26F9B"/>
    <w:rsid w:val="00C33548"/>
    <w:rsid w:val="00C430E7"/>
    <w:rsid w:val="00C512E0"/>
    <w:rsid w:val="00C53C04"/>
    <w:rsid w:val="00C5508A"/>
    <w:rsid w:val="00C558F3"/>
    <w:rsid w:val="00C645E3"/>
    <w:rsid w:val="00C654CF"/>
    <w:rsid w:val="00C766D8"/>
    <w:rsid w:val="00C81566"/>
    <w:rsid w:val="00C909E9"/>
    <w:rsid w:val="00C91BDD"/>
    <w:rsid w:val="00CA4B58"/>
    <w:rsid w:val="00CB1BC3"/>
    <w:rsid w:val="00CB1CF7"/>
    <w:rsid w:val="00CB4D6B"/>
    <w:rsid w:val="00CB7EDD"/>
    <w:rsid w:val="00CC3A34"/>
    <w:rsid w:val="00CD7CCF"/>
    <w:rsid w:val="00CE00BB"/>
    <w:rsid w:val="00CE10FA"/>
    <w:rsid w:val="00CF0F94"/>
    <w:rsid w:val="00CF2C86"/>
    <w:rsid w:val="00CF32A9"/>
    <w:rsid w:val="00CF70A3"/>
    <w:rsid w:val="00CF72CA"/>
    <w:rsid w:val="00D01224"/>
    <w:rsid w:val="00D02EF3"/>
    <w:rsid w:val="00D03583"/>
    <w:rsid w:val="00D149FA"/>
    <w:rsid w:val="00D16A71"/>
    <w:rsid w:val="00D26172"/>
    <w:rsid w:val="00D26D7D"/>
    <w:rsid w:val="00D33ACC"/>
    <w:rsid w:val="00D51C7A"/>
    <w:rsid w:val="00D53346"/>
    <w:rsid w:val="00D56E18"/>
    <w:rsid w:val="00D57932"/>
    <w:rsid w:val="00D6646E"/>
    <w:rsid w:val="00D701C9"/>
    <w:rsid w:val="00D7084A"/>
    <w:rsid w:val="00D70EC5"/>
    <w:rsid w:val="00D810F6"/>
    <w:rsid w:val="00DB611F"/>
    <w:rsid w:val="00DC6E77"/>
    <w:rsid w:val="00DD372A"/>
    <w:rsid w:val="00DD3E9E"/>
    <w:rsid w:val="00DD567B"/>
    <w:rsid w:val="00DD5792"/>
    <w:rsid w:val="00DD7BBA"/>
    <w:rsid w:val="00DE0A7F"/>
    <w:rsid w:val="00DE4C8C"/>
    <w:rsid w:val="00DF067F"/>
    <w:rsid w:val="00DF08E6"/>
    <w:rsid w:val="00DF600B"/>
    <w:rsid w:val="00DF667E"/>
    <w:rsid w:val="00E03275"/>
    <w:rsid w:val="00E0625F"/>
    <w:rsid w:val="00E06D2D"/>
    <w:rsid w:val="00E07AAD"/>
    <w:rsid w:val="00E14915"/>
    <w:rsid w:val="00E21C66"/>
    <w:rsid w:val="00E23569"/>
    <w:rsid w:val="00E24B93"/>
    <w:rsid w:val="00E33913"/>
    <w:rsid w:val="00E347DF"/>
    <w:rsid w:val="00E4366F"/>
    <w:rsid w:val="00E44A9D"/>
    <w:rsid w:val="00E50B2D"/>
    <w:rsid w:val="00E52D8A"/>
    <w:rsid w:val="00E54E53"/>
    <w:rsid w:val="00E552F0"/>
    <w:rsid w:val="00E615C1"/>
    <w:rsid w:val="00E67CB8"/>
    <w:rsid w:val="00E711C7"/>
    <w:rsid w:val="00E73F4F"/>
    <w:rsid w:val="00E76AAE"/>
    <w:rsid w:val="00E819F0"/>
    <w:rsid w:val="00E84369"/>
    <w:rsid w:val="00E90EC2"/>
    <w:rsid w:val="00E941FC"/>
    <w:rsid w:val="00EA3019"/>
    <w:rsid w:val="00EB0F58"/>
    <w:rsid w:val="00EC04F1"/>
    <w:rsid w:val="00EC63BF"/>
    <w:rsid w:val="00ED56E7"/>
    <w:rsid w:val="00ED7D7E"/>
    <w:rsid w:val="00EF0763"/>
    <w:rsid w:val="00EF73D3"/>
    <w:rsid w:val="00F04F58"/>
    <w:rsid w:val="00F1086D"/>
    <w:rsid w:val="00F167AC"/>
    <w:rsid w:val="00F16CD3"/>
    <w:rsid w:val="00F22495"/>
    <w:rsid w:val="00F23A38"/>
    <w:rsid w:val="00F26C48"/>
    <w:rsid w:val="00F3551E"/>
    <w:rsid w:val="00F36AD3"/>
    <w:rsid w:val="00F530BC"/>
    <w:rsid w:val="00F564E0"/>
    <w:rsid w:val="00F62330"/>
    <w:rsid w:val="00F718E0"/>
    <w:rsid w:val="00F8607C"/>
    <w:rsid w:val="00F90B00"/>
    <w:rsid w:val="00F97C5D"/>
    <w:rsid w:val="00F97FFC"/>
    <w:rsid w:val="00FA24FD"/>
    <w:rsid w:val="00FA2925"/>
    <w:rsid w:val="00FA34E1"/>
    <w:rsid w:val="00FB5C54"/>
    <w:rsid w:val="00FC5073"/>
    <w:rsid w:val="00FC78B4"/>
    <w:rsid w:val="00FD27EE"/>
    <w:rsid w:val="00FD7786"/>
    <w:rsid w:val="00FE03BA"/>
    <w:rsid w:val="00FE0ED4"/>
    <w:rsid w:val="00FE1153"/>
    <w:rsid w:val="00FE3C07"/>
    <w:rsid w:val="00FE3D31"/>
    <w:rsid w:val="00FE4450"/>
    <w:rsid w:val="00FE7814"/>
    <w:rsid w:val="00FF1DDB"/>
    <w:rsid w:val="00FF509D"/>
    <w:rsid w:val="01346694"/>
    <w:rsid w:val="038E1197"/>
    <w:rsid w:val="0D5C1CA2"/>
    <w:rsid w:val="21616DA0"/>
    <w:rsid w:val="24A21FAF"/>
    <w:rsid w:val="2E0A7D2E"/>
    <w:rsid w:val="31EC79F3"/>
    <w:rsid w:val="40CC5771"/>
    <w:rsid w:val="431A2AA6"/>
    <w:rsid w:val="578B24AB"/>
    <w:rsid w:val="5CBC1D3B"/>
    <w:rsid w:val="5DFC7B08"/>
    <w:rsid w:val="5F9E24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48"/>
    <w:qFormat/>
    <w:uiPriority w:val="9"/>
    <w:pPr>
      <w:spacing w:beforeAutospacing="1" w:afterAutospacing="1"/>
      <w:jc w:val="left"/>
      <w:outlineLvl w:val="0"/>
    </w:pPr>
    <w:rPr>
      <w:rFonts w:ascii="宋体" w:hAnsi="宋体"/>
      <w:b/>
      <w:color w:val="000000"/>
      <w:kern w:val="0"/>
      <w:sz w:val="48"/>
      <w:szCs w:val="48"/>
    </w:rPr>
  </w:style>
  <w:style w:type="paragraph" w:styleId="3">
    <w:name w:val="heading 2"/>
    <w:basedOn w:val="1"/>
    <w:next w:val="1"/>
    <w:link w:val="5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4">
    <w:name w:val="Date"/>
    <w:basedOn w:val="1"/>
    <w:next w:val="1"/>
    <w:link w:val="59"/>
    <w:unhideWhenUsed/>
    <w:uiPriority w:val="99"/>
    <w:pPr>
      <w:ind w:left="100" w:leftChars="2500"/>
    </w:pPr>
  </w:style>
  <w:style w:type="paragraph" w:styleId="5">
    <w:name w:val="Body Text Indent 2"/>
    <w:basedOn w:val="1"/>
    <w:link w:val="55"/>
    <w:uiPriority w:val="0"/>
    <w:pPr>
      <w:spacing w:beforeLines="100" w:line="520" w:lineRule="exact"/>
      <w:ind w:left="-178" w:leftChars="-85"/>
    </w:pPr>
    <w:rPr>
      <w:rFonts w:ascii="仿宋_GB2312" w:hAnsi="Times New Roman" w:eastAsia="仿宋_GB2312"/>
      <w:sz w:val="32"/>
      <w:szCs w:val="24"/>
    </w:rPr>
  </w:style>
  <w:style w:type="paragraph" w:styleId="6">
    <w:name w:val="Balloon Text"/>
    <w:basedOn w:val="1"/>
    <w:link w:val="56"/>
    <w:unhideWhenUsed/>
    <w:uiPriority w:val="99"/>
    <w:rPr>
      <w:sz w:val="18"/>
      <w:szCs w:val="18"/>
    </w:rPr>
  </w:style>
  <w:style w:type="paragraph" w:styleId="7">
    <w:name w:val="footer"/>
    <w:basedOn w:val="1"/>
    <w:link w:val="46"/>
    <w:unhideWhenUsed/>
    <w:qFormat/>
    <w:uiPriority w:val="99"/>
    <w:pPr>
      <w:tabs>
        <w:tab w:val="center" w:pos="4153"/>
        <w:tab w:val="right" w:pos="8306"/>
      </w:tabs>
      <w:snapToGrid w:val="0"/>
      <w:jc w:val="left"/>
    </w:pPr>
    <w:rPr>
      <w:sz w:val="18"/>
      <w:szCs w:val="18"/>
    </w:rPr>
  </w:style>
  <w:style w:type="paragraph" w:styleId="8">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rPr>
      <w:rFonts w:ascii="Times New Roman" w:hAnsi="Times New Roman" w:cs="Times New Roman"/>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FollowedHyperlink"/>
    <w:unhideWhenUsed/>
    <w:uiPriority w:val="99"/>
    <w:rPr>
      <w:color w:val="800080"/>
      <w:u w:val="single"/>
    </w:rPr>
  </w:style>
  <w:style w:type="character" w:styleId="16">
    <w:name w:val="Hyperlink"/>
    <w:unhideWhenUsed/>
    <w:uiPriority w:val="99"/>
    <w:rPr>
      <w:rFonts w:ascii="Arial" w:hAnsi="Arial" w:eastAsia="Times New Roman" w:cs="Verdana"/>
      <w:b/>
      <w:color w:val="0000FF"/>
      <w:kern w:val="0"/>
      <w:sz w:val="18"/>
      <w:szCs w:val="18"/>
      <w:u w:val="none"/>
      <w:lang w:eastAsia="en-US"/>
    </w:rPr>
  </w:style>
  <w:style w:type="paragraph" w:customStyle="1" w:styleId="17">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8">
    <w:name w:val="xl76"/>
    <w:basedOn w:val="1"/>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9">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1">
    <w:name w:val="xl64"/>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2">
    <w:name w:val="列出段落2"/>
    <w:basedOn w:val="1"/>
    <w:qFormat/>
    <w:uiPriority w:val="0"/>
    <w:pPr>
      <w:ind w:firstLine="420" w:firstLineChars="200"/>
    </w:pPr>
  </w:style>
  <w:style w:type="paragraph" w:customStyle="1" w:styleId="23">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6">
    <w:name w:val="xl63"/>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7">
    <w:name w:val="_Style 11"/>
    <w:next w:val="1"/>
    <w:unhideWhenUsed/>
    <w:uiPriority w:val="99"/>
    <w:pPr>
      <w:widowControl w:val="0"/>
      <w:jc w:val="both"/>
    </w:pPr>
    <w:rPr>
      <w:kern w:val="2"/>
      <w:sz w:val="21"/>
      <w:szCs w:val="22"/>
      <w:lang w:val="en-US" w:eastAsia="zh-CN" w:bidi="ar-SA"/>
    </w:rPr>
  </w:style>
  <w:style w:type="paragraph" w:customStyle="1" w:styleId="2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1">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3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3">
    <w:name w:val="行高8copy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_Style 7"/>
    <w:next w:val="1"/>
    <w:unhideWhenUsed/>
    <w:uiPriority w:val="99"/>
    <w:pPr>
      <w:widowControl w:val="0"/>
      <w:jc w:val="both"/>
    </w:pPr>
    <w:rPr>
      <w:kern w:val="2"/>
      <w:sz w:val="21"/>
      <w:szCs w:val="22"/>
      <w:lang w:val="en-US" w:eastAsia="zh-CN" w:bidi="ar-SA"/>
    </w:rPr>
  </w:style>
  <w:style w:type="paragraph" w:customStyle="1" w:styleId="35">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6">
    <w:name w:val="p0"/>
    <w:basedOn w:val="1"/>
    <w:uiPriority w:val="0"/>
    <w:pPr>
      <w:widowControl/>
      <w:jc w:val="left"/>
    </w:pPr>
    <w:rPr>
      <w:rFonts w:ascii="宋体" w:hAnsi="宋体" w:cs="宋体"/>
      <w:kern w:val="0"/>
      <w:sz w:val="24"/>
      <w:szCs w:val="24"/>
    </w:rPr>
  </w:style>
  <w:style w:type="paragraph" w:customStyle="1" w:styleId="3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
    <w:name w:val="xl78"/>
    <w:basedOn w:val="1"/>
    <w:uiPriority w:val="0"/>
    <w:pPr>
      <w:widowControl/>
      <w:spacing w:before="100" w:beforeAutospacing="1" w:after="100" w:afterAutospacing="1"/>
      <w:jc w:val="center"/>
      <w:textAlignment w:val="center"/>
    </w:pPr>
    <w:rPr>
      <w:rFonts w:ascii="方正小标宋简体" w:hAnsi="宋体" w:eastAsia="方正小标宋简体" w:cs="宋体"/>
      <w:kern w:val="0"/>
      <w:sz w:val="40"/>
      <w:szCs w:val="40"/>
    </w:rPr>
  </w:style>
  <w:style w:type="paragraph" w:customStyle="1" w:styleId="39">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4"/>
      <w:szCs w:val="24"/>
    </w:rPr>
  </w:style>
  <w:style w:type="paragraph" w:customStyle="1" w:styleId="40">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16"/>
      <w:szCs w:val="16"/>
    </w:rPr>
  </w:style>
  <w:style w:type="paragraph" w:customStyle="1" w:styleId="42">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styleId="43">
    <w:name w:val="List Paragraph"/>
    <w:basedOn w:val="1"/>
    <w:qFormat/>
    <w:uiPriority w:val="34"/>
    <w:pPr>
      <w:ind w:firstLine="420" w:firstLineChars="200"/>
    </w:pPr>
  </w:style>
  <w:style w:type="paragraph" w:customStyle="1" w:styleId="44">
    <w:name w:val="msolistparagraph"/>
    <w:basedOn w:val="1"/>
    <w:uiPriority w:val="0"/>
    <w:pPr>
      <w:ind w:firstLine="420" w:firstLineChars="200"/>
    </w:pPr>
    <w:rPr>
      <w:rFonts w:cs="Times New Roman"/>
    </w:rPr>
  </w:style>
  <w:style w:type="character" w:customStyle="1" w:styleId="45">
    <w:name w:val="日期 字符"/>
    <w:semiHidden/>
    <w:uiPriority w:val="99"/>
    <w:rPr>
      <w:kern w:val="2"/>
      <w:sz w:val="21"/>
      <w:szCs w:val="22"/>
    </w:rPr>
  </w:style>
  <w:style w:type="character" w:customStyle="1" w:styleId="46">
    <w:name w:val="页脚 Char"/>
    <w:link w:val="7"/>
    <w:uiPriority w:val="99"/>
    <w:rPr>
      <w:kern w:val="2"/>
      <w:sz w:val="18"/>
      <w:szCs w:val="18"/>
    </w:rPr>
  </w:style>
  <w:style w:type="character" w:customStyle="1" w:styleId="47">
    <w:name w:val="正文文本缩进 2 Char"/>
    <w:semiHidden/>
    <w:uiPriority w:val="99"/>
    <w:rPr>
      <w:kern w:val="2"/>
      <w:sz w:val="21"/>
      <w:szCs w:val="22"/>
    </w:rPr>
  </w:style>
  <w:style w:type="character" w:customStyle="1" w:styleId="48">
    <w:name w:val="标题 1 Char"/>
    <w:link w:val="2"/>
    <w:uiPriority w:val="9"/>
    <w:rPr>
      <w:rFonts w:ascii="宋体" w:hAnsi="宋体"/>
      <w:b/>
      <w:color w:val="000000"/>
      <w:sz w:val="48"/>
      <w:szCs w:val="48"/>
    </w:rPr>
  </w:style>
  <w:style w:type="character" w:customStyle="1" w:styleId="49">
    <w:name w:val="批注框文本 字符"/>
    <w:semiHidden/>
    <w:uiPriority w:val="99"/>
    <w:rPr>
      <w:kern w:val="2"/>
      <w:sz w:val="18"/>
      <w:szCs w:val="18"/>
    </w:rPr>
  </w:style>
  <w:style w:type="character" w:customStyle="1" w:styleId="50">
    <w:name w:val="日期 Char1"/>
    <w:semiHidden/>
    <w:uiPriority w:val="99"/>
    <w:rPr>
      <w:kern w:val="2"/>
      <w:sz w:val="21"/>
      <w:szCs w:val="22"/>
    </w:rPr>
  </w:style>
  <w:style w:type="character" w:customStyle="1" w:styleId="51">
    <w:name w:val="标题 2 Char"/>
    <w:link w:val="3"/>
    <w:uiPriority w:val="0"/>
    <w:rPr>
      <w:rFonts w:ascii="Cambria" w:hAnsi="Cambria" w:eastAsia="宋体" w:cs="Times New Roman"/>
      <w:b/>
      <w:bCs/>
      <w:kern w:val="2"/>
      <w:sz w:val="32"/>
      <w:szCs w:val="32"/>
    </w:rPr>
  </w:style>
  <w:style w:type="character" w:customStyle="1" w:styleId="52">
    <w:name w:val="页脚 Char1"/>
    <w:semiHidden/>
    <w:qFormat/>
    <w:uiPriority w:val="99"/>
    <w:rPr>
      <w:kern w:val="2"/>
      <w:sz w:val="18"/>
      <w:szCs w:val="18"/>
    </w:rPr>
  </w:style>
  <w:style w:type="character" w:customStyle="1" w:styleId="53">
    <w:name w:val="页眉 Char"/>
    <w:link w:val="8"/>
    <w:qFormat/>
    <w:uiPriority w:val="99"/>
    <w:rPr>
      <w:kern w:val="2"/>
      <w:sz w:val="18"/>
      <w:szCs w:val="18"/>
    </w:rPr>
  </w:style>
  <w:style w:type="character" w:customStyle="1" w:styleId="54">
    <w:name w:val="页眉 字符"/>
    <w:uiPriority w:val="0"/>
    <w:rPr>
      <w:kern w:val="2"/>
      <w:sz w:val="18"/>
      <w:szCs w:val="18"/>
    </w:rPr>
  </w:style>
  <w:style w:type="character" w:customStyle="1" w:styleId="55">
    <w:name w:val="正文文本缩进 2 Char1"/>
    <w:link w:val="5"/>
    <w:qFormat/>
    <w:uiPriority w:val="0"/>
    <w:rPr>
      <w:rFonts w:ascii="仿宋_GB2312" w:hAnsi="Times New Roman" w:eastAsia="仿宋_GB2312"/>
      <w:kern w:val="2"/>
      <w:sz w:val="32"/>
      <w:szCs w:val="24"/>
    </w:rPr>
  </w:style>
  <w:style w:type="character" w:customStyle="1" w:styleId="56">
    <w:name w:val="批注框文本 Char"/>
    <w:link w:val="6"/>
    <w:qFormat/>
    <w:uiPriority w:val="99"/>
    <w:rPr>
      <w:kern w:val="2"/>
      <w:sz w:val="18"/>
      <w:szCs w:val="18"/>
    </w:rPr>
  </w:style>
  <w:style w:type="character" w:customStyle="1" w:styleId="57">
    <w:name w:val="页眉 Char1"/>
    <w:semiHidden/>
    <w:qFormat/>
    <w:uiPriority w:val="99"/>
    <w:rPr>
      <w:kern w:val="2"/>
      <w:sz w:val="18"/>
      <w:szCs w:val="18"/>
    </w:rPr>
  </w:style>
  <w:style w:type="character" w:customStyle="1" w:styleId="58">
    <w:name w:val="页脚 字符"/>
    <w:uiPriority w:val="99"/>
    <w:rPr>
      <w:kern w:val="2"/>
      <w:sz w:val="18"/>
      <w:szCs w:val="18"/>
    </w:rPr>
  </w:style>
  <w:style w:type="character" w:customStyle="1" w:styleId="59">
    <w:name w:val="日期 Char"/>
    <w:link w:val="4"/>
    <w:qFormat/>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9"/>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727</Words>
  <Characters>4147</Characters>
  <Lines>34</Lines>
  <Paragraphs>9</Paragraphs>
  <TotalTime>7</TotalTime>
  <ScaleCrop>false</ScaleCrop>
  <LinksUpToDate>false</LinksUpToDate>
  <CharactersWithSpaces>4865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2021-03-04T23:59:00Z</dcterms:created>
  <dc:creator>胡晓欢</dc:creator>
  <cp:lastModifiedBy>Itachi</cp:lastModifiedBy>
  <cp:lastPrinted>2021-03-04T23:56:00Z</cp:lastPrinted>
  <dcterms:modified xsi:type="dcterms:W3CDTF">2021-03-05T03:08:51Z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